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F5F6" w14:textId="0F669FB3" w:rsidR="00C4548B" w:rsidRPr="00636F12" w:rsidRDefault="00C4548B" w:rsidP="00636F12">
      <w:pPr>
        <w:jc w:val="center"/>
        <w:rPr>
          <w:b/>
          <w:bCs/>
          <w:lang w:val="en-GB"/>
        </w:rPr>
      </w:pPr>
      <w:r w:rsidRPr="00636F12">
        <w:rPr>
          <w:b/>
          <w:bCs/>
          <w:lang w:val="en-GB"/>
        </w:rPr>
        <w:t>Wastewater influent and effluent concentrations from on-site package plants in Northern Sweden and Finland</w:t>
      </w:r>
    </w:p>
    <w:p w14:paraId="04E9FD02" w14:textId="77777777" w:rsidR="00636F12" w:rsidRPr="004935EF" w:rsidRDefault="00636F12" w:rsidP="00636F12">
      <w:pPr>
        <w:rPr>
          <w:vertAlign w:val="superscript"/>
        </w:rPr>
      </w:pPr>
      <w:r>
        <w:t>Brenda Vidal</w:t>
      </w:r>
      <w:r w:rsidRPr="004935EF">
        <w:rPr>
          <w:vertAlign w:val="superscript"/>
        </w:rPr>
        <w:t>1</w:t>
      </w:r>
      <w:r>
        <w:t>, Juho Kinnunen</w:t>
      </w:r>
      <w:r w:rsidRPr="004935EF">
        <w:rPr>
          <w:vertAlign w:val="superscript"/>
        </w:rPr>
        <w:t>2</w:t>
      </w:r>
      <w:r>
        <w:t>, Annelie Hedström</w:t>
      </w:r>
      <w:r w:rsidRPr="004935EF">
        <w:rPr>
          <w:vertAlign w:val="superscript"/>
        </w:rPr>
        <w:t>1</w:t>
      </w:r>
      <w:r>
        <w:t>, Elisangela Heiderscheidt</w:t>
      </w:r>
      <w:r w:rsidRPr="004935EF">
        <w:rPr>
          <w:vertAlign w:val="superscript"/>
        </w:rPr>
        <w:t>2</w:t>
      </w:r>
      <w:r>
        <w:t>, Pekka Rossi</w:t>
      </w:r>
      <w:r w:rsidRPr="004935EF">
        <w:rPr>
          <w:vertAlign w:val="superscript"/>
        </w:rPr>
        <w:t>2</w:t>
      </w:r>
      <w:r>
        <w:t>, Inga Herrmann</w:t>
      </w:r>
      <w:r w:rsidRPr="004935EF">
        <w:rPr>
          <w:vertAlign w:val="superscript"/>
        </w:rPr>
        <w:t>1</w:t>
      </w:r>
    </w:p>
    <w:p w14:paraId="1F9BDAD2" w14:textId="77777777" w:rsidR="00636F12" w:rsidRPr="004935EF" w:rsidRDefault="00636F12" w:rsidP="00636F12">
      <w:pPr>
        <w:rPr>
          <w:lang w:val="en-GB"/>
        </w:rPr>
      </w:pPr>
      <w:r w:rsidRPr="004935EF">
        <w:rPr>
          <w:vertAlign w:val="superscript"/>
          <w:lang w:val="en-GB"/>
        </w:rPr>
        <w:t>1</w:t>
      </w:r>
      <w:r w:rsidRPr="004935EF">
        <w:rPr>
          <w:lang w:val="en-GB"/>
        </w:rPr>
        <w:t>Department of Civil, Environmental and Natural Resources Engineering, Luleå University of Technology, SE 971 87, Sweden</w:t>
      </w:r>
    </w:p>
    <w:p w14:paraId="39265A65" w14:textId="77777777" w:rsidR="00636F12" w:rsidRDefault="00636F12" w:rsidP="00636F12">
      <w:pPr>
        <w:rPr>
          <w:lang w:val="en-GB"/>
        </w:rPr>
      </w:pPr>
      <w:r w:rsidRPr="004935EF">
        <w:rPr>
          <w:vertAlign w:val="superscript"/>
          <w:lang w:val="en-GB"/>
        </w:rPr>
        <w:t xml:space="preserve">2 </w:t>
      </w:r>
      <w:r w:rsidRPr="004935EF">
        <w:rPr>
          <w:lang w:val="en-GB"/>
        </w:rPr>
        <w:t>Water, Energy and Environmental Engineering Research Unit, Faculty of Technology, 90014 University of Oulu, Finland</w:t>
      </w:r>
    </w:p>
    <w:p w14:paraId="574ECBB7" w14:textId="77777777" w:rsidR="00636F12" w:rsidRPr="00636F12" w:rsidRDefault="00636F12">
      <w:pPr>
        <w:rPr>
          <w:lang w:val="en-GB"/>
        </w:rPr>
      </w:pPr>
    </w:p>
    <w:p w14:paraId="7FDA4C7B" w14:textId="2E921750" w:rsidR="00134698" w:rsidRPr="00134698" w:rsidRDefault="00134698" w:rsidP="00134698">
      <w:pPr>
        <w:rPr>
          <w:b/>
          <w:bCs/>
          <w:lang w:val="en-GB"/>
        </w:rPr>
      </w:pPr>
      <w:r w:rsidRPr="00134698">
        <w:rPr>
          <w:b/>
          <w:bCs/>
          <w:lang w:val="en-GB"/>
        </w:rPr>
        <w:t>Description</w:t>
      </w:r>
      <w:r w:rsidR="009A37FD">
        <w:rPr>
          <w:b/>
          <w:bCs/>
          <w:lang w:val="en-GB"/>
        </w:rPr>
        <w:t xml:space="preserve"> of the data</w:t>
      </w:r>
    </w:p>
    <w:p w14:paraId="54C04733" w14:textId="0B3B518F" w:rsidR="00352512" w:rsidRDefault="00CA4A00" w:rsidP="004F0238">
      <w:pPr>
        <w:jc w:val="both"/>
        <w:rPr>
          <w:lang w:val="en-GB"/>
        </w:rPr>
      </w:pPr>
      <w:r>
        <w:rPr>
          <w:lang w:val="en-GB"/>
        </w:rPr>
        <w:t xml:space="preserve">The data contains influent and effluent concentrations of traditional parameters </w:t>
      </w:r>
      <w:r w:rsidR="006C4765">
        <w:rPr>
          <w:lang w:val="en-GB"/>
        </w:rPr>
        <w:t>measured in on-site package plants for domestic wastewater treatment</w:t>
      </w:r>
      <w:r w:rsidR="00254153">
        <w:rPr>
          <w:lang w:val="en-GB"/>
        </w:rPr>
        <w:t xml:space="preserve"> serving single houses or small communities (2-30 person equivalent)</w:t>
      </w:r>
      <w:r w:rsidR="006C4765">
        <w:rPr>
          <w:lang w:val="en-GB"/>
        </w:rPr>
        <w:t xml:space="preserve">. </w:t>
      </w:r>
      <w:r w:rsidR="00352512">
        <w:rPr>
          <w:lang w:val="en-GB"/>
        </w:rPr>
        <w:t xml:space="preserve">The purpose of the collected dataset was to investigate the treatment efficiency of package plants operating in cold climate conditions throughout different seasons. The samples were collected in the northern regions of Sweden (Norrbotten) and Finland (North Ostrobothnia and Lapland) characterised by low winter temperatures and deep frost penetration. </w:t>
      </w:r>
    </w:p>
    <w:p w14:paraId="7DB48DE6" w14:textId="3BE2393D" w:rsidR="00352512" w:rsidRDefault="00352512" w:rsidP="004F0238">
      <w:pPr>
        <w:jc w:val="both"/>
        <w:rPr>
          <w:lang w:val="en-GB"/>
        </w:rPr>
      </w:pPr>
      <w:r>
        <w:rPr>
          <w:lang w:val="en-GB"/>
        </w:rPr>
        <w:t xml:space="preserve">The </w:t>
      </w:r>
      <w:r w:rsidR="004C22C7">
        <w:rPr>
          <w:lang w:val="en-GB"/>
        </w:rPr>
        <w:t xml:space="preserve">investigated facilities included </w:t>
      </w:r>
      <w:r w:rsidR="00ED1970">
        <w:rPr>
          <w:lang w:val="en-GB"/>
        </w:rPr>
        <w:t xml:space="preserve">six </w:t>
      </w:r>
      <w:r>
        <w:rPr>
          <w:lang w:val="en-GB"/>
        </w:rPr>
        <w:t xml:space="preserve">package plants </w:t>
      </w:r>
      <w:r w:rsidR="005C5E6C">
        <w:rPr>
          <w:lang w:val="en-US"/>
        </w:rPr>
        <w:t xml:space="preserve">operated in continuous </w:t>
      </w:r>
      <w:r w:rsidR="00B811CB">
        <w:rPr>
          <w:lang w:val="en-US"/>
        </w:rPr>
        <w:t>mode:</w:t>
      </w:r>
      <w:r w:rsidR="005C5E6C">
        <w:rPr>
          <w:lang w:val="en-US"/>
        </w:rPr>
        <w:t xml:space="preserve"> one with a trickling filter (TF), one with a rotating biological contactor (RBC) and four with activated sludge with phosphorus removal by coagulation (ASC) or alkaline filter (ASF1, ASF2, ASF3) systems.</w:t>
      </w:r>
      <w:r w:rsidR="00ED1970">
        <w:rPr>
          <w:lang w:val="en-US"/>
        </w:rPr>
        <w:t xml:space="preserve"> Additionally, f</w:t>
      </w:r>
      <w:r w:rsidR="005C5E6C">
        <w:rPr>
          <w:lang w:val="en-US"/>
        </w:rPr>
        <w:t>ive</w:t>
      </w:r>
      <w:r w:rsidR="005C5E6C" w:rsidRPr="005D4613">
        <w:rPr>
          <w:lang w:val="en-US"/>
        </w:rPr>
        <w:t xml:space="preserve"> plants</w:t>
      </w:r>
      <w:r w:rsidR="005C5E6C">
        <w:rPr>
          <w:lang w:val="en-US"/>
        </w:rPr>
        <w:t xml:space="preserve"> supplied</w:t>
      </w:r>
      <w:r w:rsidR="005C5E6C" w:rsidRPr="005D4613">
        <w:rPr>
          <w:lang w:val="en-US"/>
        </w:rPr>
        <w:t xml:space="preserve"> </w:t>
      </w:r>
      <w:r w:rsidR="005C5E6C">
        <w:rPr>
          <w:lang w:val="en-US"/>
        </w:rPr>
        <w:t xml:space="preserve">by three different manufacturers </w:t>
      </w:r>
      <w:r w:rsidR="005C5E6C" w:rsidRPr="005D4613">
        <w:rPr>
          <w:lang w:val="en-US"/>
        </w:rPr>
        <w:t>operat</w:t>
      </w:r>
      <w:r w:rsidR="005C5E6C">
        <w:rPr>
          <w:lang w:val="en-US"/>
        </w:rPr>
        <w:t xml:space="preserve">ed </w:t>
      </w:r>
      <w:r w:rsidR="005C5E6C" w:rsidRPr="005D4613">
        <w:rPr>
          <w:lang w:val="en-US"/>
        </w:rPr>
        <w:t xml:space="preserve">in batch mode </w:t>
      </w:r>
      <w:r w:rsidR="005C5E6C">
        <w:rPr>
          <w:lang w:val="en-US"/>
        </w:rPr>
        <w:t xml:space="preserve">with </w:t>
      </w:r>
      <w:r w:rsidR="005C5E6C" w:rsidRPr="005D4613">
        <w:rPr>
          <w:lang w:val="en-US"/>
        </w:rPr>
        <w:t xml:space="preserve">activated sludge </w:t>
      </w:r>
      <w:r w:rsidR="005C5E6C">
        <w:rPr>
          <w:lang w:val="en-US"/>
        </w:rPr>
        <w:t xml:space="preserve">and coagulation for </w:t>
      </w:r>
      <w:r w:rsidR="005C5E6C" w:rsidRPr="005D4613">
        <w:rPr>
          <w:lang w:val="en-US"/>
        </w:rPr>
        <w:t>phosphorus removal</w:t>
      </w:r>
      <w:r w:rsidR="005C5E6C">
        <w:rPr>
          <w:lang w:val="en-US"/>
        </w:rPr>
        <w:t xml:space="preserve"> (SBR1-5)</w:t>
      </w:r>
      <w:r w:rsidR="005C5E6C" w:rsidRPr="005D4613">
        <w:rPr>
          <w:lang w:val="en-US"/>
        </w:rPr>
        <w:t>.</w:t>
      </w:r>
    </w:p>
    <w:p w14:paraId="07D85848" w14:textId="0D43CF99" w:rsidR="00CA4A00" w:rsidRDefault="006C4765" w:rsidP="004F0238">
      <w:pPr>
        <w:jc w:val="both"/>
        <w:rPr>
          <w:lang w:val="en-GB"/>
        </w:rPr>
      </w:pPr>
      <w:r>
        <w:rPr>
          <w:lang w:val="en-GB"/>
        </w:rPr>
        <w:t>The parameters analysed include</w:t>
      </w:r>
      <w:r w:rsidR="00CA4A00">
        <w:rPr>
          <w:lang w:val="en-GB"/>
        </w:rPr>
        <w:t xml:space="preserve"> organic matter, suspended solids, nutrients (phosphorus and nitrogen compounds) and indicator bacteria, as well as other physicochemical parameters such as temperature, pH and turbidity, and chloride as a tracer compound to detect dilution effects. Additional influent and effluent concentrations</w:t>
      </w:r>
      <w:r w:rsidR="0074561B">
        <w:rPr>
          <w:lang w:val="en-GB"/>
        </w:rPr>
        <w:t xml:space="preserve"> of micropollutants from two slightly larger plants (</w:t>
      </w:r>
      <w:r w:rsidR="008C4F4B">
        <w:rPr>
          <w:lang w:val="en-GB"/>
        </w:rPr>
        <w:t xml:space="preserve">ASC and TF, </w:t>
      </w:r>
      <w:r w:rsidR="0074561B">
        <w:rPr>
          <w:lang w:val="en-GB"/>
        </w:rPr>
        <w:t xml:space="preserve">serving </w:t>
      </w:r>
      <w:r>
        <w:rPr>
          <w:lang w:val="en-GB"/>
        </w:rPr>
        <w:t xml:space="preserve">12-30 person equivalent) are also included. These micropollutants consisted </w:t>
      </w:r>
      <w:r w:rsidR="00CA4A00">
        <w:rPr>
          <w:lang w:val="en-GB"/>
        </w:rPr>
        <w:t xml:space="preserve">of </w:t>
      </w:r>
      <w:r w:rsidR="0074561B">
        <w:rPr>
          <w:lang w:val="en-GB"/>
        </w:rPr>
        <w:t>19</w:t>
      </w:r>
      <w:r w:rsidR="00CA4A00">
        <w:rPr>
          <w:lang w:val="en-GB"/>
        </w:rPr>
        <w:t xml:space="preserve"> selected pharmaceuticals</w:t>
      </w:r>
      <w:r w:rsidR="0074561B">
        <w:rPr>
          <w:lang w:val="en-GB"/>
        </w:rPr>
        <w:t>, caffeine and the sweetener Acesulfame K,</w:t>
      </w:r>
      <w:r w:rsidR="00CA4A00">
        <w:rPr>
          <w:lang w:val="en-GB"/>
        </w:rPr>
        <w:t xml:space="preserve"> and </w:t>
      </w:r>
      <w:r w:rsidR="0074561B">
        <w:rPr>
          <w:lang w:val="en-GB"/>
        </w:rPr>
        <w:t xml:space="preserve">15 </w:t>
      </w:r>
      <w:r w:rsidR="00CA4A00">
        <w:rPr>
          <w:lang w:val="en-GB"/>
        </w:rPr>
        <w:t>phthalates</w:t>
      </w:r>
      <w:r>
        <w:rPr>
          <w:lang w:val="en-GB"/>
        </w:rPr>
        <w:t>.</w:t>
      </w:r>
    </w:p>
    <w:p w14:paraId="786816D1" w14:textId="7A13264D" w:rsidR="004F0238" w:rsidRPr="00134698" w:rsidRDefault="004F0238" w:rsidP="004F0238">
      <w:pPr>
        <w:jc w:val="both"/>
        <w:rPr>
          <w:lang w:val="en-GB"/>
        </w:rPr>
      </w:pPr>
      <w:r>
        <w:rPr>
          <w:lang w:val="en-GB"/>
        </w:rPr>
        <w:t>The data has not been processed and consists of results (raw data) obtained directly from our university laboratory in Luleå university of technology (nutrient samples</w:t>
      </w:r>
      <w:r w:rsidR="00AA1C7E">
        <w:rPr>
          <w:lang w:val="en-GB"/>
        </w:rPr>
        <w:t xml:space="preserve"> from facilities in Sweden</w:t>
      </w:r>
      <w:r>
        <w:rPr>
          <w:lang w:val="en-GB"/>
        </w:rPr>
        <w:t>) and accredited laboratories (traditional parameters, microbiology, micropollutants).</w:t>
      </w:r>
      <w:r w:rsidR="00603D0C">
        <w:rPr>
          <w:lang w:val="en-GB"/>
        </w:rPr>
        <w:t xml:space="preserve"> </w:t>
      </w:r>
    </w:p>
    <w:p w14:paraId="40F6EDA7" w14:textId="5C08069E" w:rsidR="00CA4A00" w:rsidRDefault="00CA4A00" w:rsidP="00134698">
      <w:pPr>
        <w:rPr>
          <w:lang w:val="en-GB"/>
        </w:rPr>
      </w:pPr>
    </w:p>
    <w:p w14:paraId="351E2237" w14:textId="581392E4" w:rsidR="0003727C" w:rsidRPr="00783246" w:rsidRDefault="00783246">
      <w:pPr>
        <w:rPr>
          <w:b/>
          <w:bCs/>
          <w:lang w:val="en-GB"/>
        </w:rPr>
      </w:pPr>
      <w:r>
        <w:rPr>
          <w:b/>
          <w:bCs/>
          <w:lang w:val="en-GB"/>
        </w:rPr>
        <w:t>Wastewater s</w:t>
      </w:r>
      <w:r w:rsidRPr="00783246">
        <w:rPr>
          <w:b/>
          <w:bCs/>
          <w:lang w:val="en-GB"/>
        </w:rPr>
        <w:t xml:space="preserve">amples </w:t>
      </w:r>
      <w:r w:rsidR="00F26230" w:rsidRPr="00783246">
        <w:rPr>
          <w:b/>
          <w:bCs/>
          <w:lang w:val="en-GB"/>
        </w:rPr>
        <w:t>collection</w:t>
      </w:r>
      <w:r w:rsidR="001802AB">
        <w:rPr>
          <w:b/>
          <w:bCs/>
          <w:lang w:val="en-GB"/>
        </w:rPr>
        <w:t>,</w:t>
      </w:r>
      <w:r w:rsidRPr="00783246">
        <w:rPr>
          <w:b/>
          <w:bCs/>
          <w:lang w:val="en-GB"/>
        </w:rPr>
        <w:t xml:space="preserve"> management</w:t>
      </w:r>
      <w:r w:rsidR="001802AB">
        <w:rPr>
          <w:b/>
          <w:bCs/>
          <w:lang w:val="en-GB"/>
        </w:rPr>
        <w:t xml:space="preserve"> and analysis</w:t>
      </w:r>
    </w:p>
    <w:p w14:paraId="1F414C28" w14:textId="61F43E33" w:rsidR="003C6AE3" w:rsidRDefault="00F26230" w:rsidP="004E384B">
      <w:pPr>
        <w:spacing w:before="240" w:after="240"/>
        <w:jc w:val="both"/>
        <w:rPr>
          <w:lang w:val="en-US"/>
        </w:rPr>
      </w:pPr>
      <w:r>
        <w:rPr>
          <w:lang w:val="en-US"/>
        </w:rPr>
        <w:t xml:space="preserve">The data was collected during different occasions between </w:t>
      </w:r>
      <w:r w:rsidR="004E384B" w:rsidRPr="005D4613">
        <w:rPr>
          <w:lang w:val="en-US"/>
        </w:rPr>
        <w:t>August 2019</w:t>
      </w:r>
      <w:r>
        <w:rPr>
          <w:lang w:val="en-US"/>
        </w:rPr>
        <w:t xml:space="preserve"> and </w:t>
      </w:r>
      <w:r w:rsidR="004E384B" w:rsidRPr="005D4613">
        <w:rPr>
          <w:lang w:val="en-US"/>
        </w:rPr>
        <w:t>April 2021, covering different seasons and temperature ranges</w:t>
      </w:r>
      <w:r>
        <w:rPr>
          <w:lang w:val="en-US"/>
        </w:rPr>
        <w:t>. I</w:t>
      </w:r>
      <w:r w:rsidR="004E384B" w:rsidRPr="005D4613">
        <w:rPr>
          <w:lang w:val="en-US"/>
        </w:rPr>
        <w:t xml:space="preserve">nfluent samples </w:t>
      </w:r>
      <w:r w:rsidR="004E384B">
        <w:rPr>
          <w:lang w:val="en-US"/>
        </w:rPr>
        <w:t xml:space="preserve">were collected </w:t>
      </w:r>
      <w:r w:rsidR="004E384B" w:rsidRPr="005D4613">
        <w:rPr>
          <w:lang w:val="en-US"/>
        </w:rPr>
        <w:t xml:space="preserve">from </w:t>
      </w:r>
      <w:r w:rsidR="004E384B">
        <w:rPr>
          <w:lang w:val="en-US"/>
        </w:rPr>
        <w:t xml:space="preserve">the </w:t>
      </w:r>
      <w:r w:rsidR="009A68E9">
        <w:rPr>
          <w:lang w:val="en-US"/>
        </w:rPr>
        <w:t>facilities’</w:t>
      </w:r>
      <w:r w:rsidR="004E384B">
        <w:rPr>
          <w:lang w:val="en-US"/>
        </w:rPr>
        <w:t xml:space="preserve"> </w:t>
      </w:r>
      <w:r w:rsidR="004E384B" w:rsidRPr="005D4613">
        <w:rPr>
          <w:lang w:val="en-US"/>
        </w:rPr>
        <w:t>sedimentation tank</w:t>
      </w:r>
      <w:r w:rsidR="004E384B">
        <w:rPr>
          <w:lang w:val="en-US"/>
        </w:rPr>
        <w:t>s</w:t>
      </w:r>
      <w:r w:rsidR="004E384B" w:rsidRPr="005D4613">
        <w:rPr>
          <w:lang w:val="en-US"/>
        </w:rPr>
        <w:t xml:space="preserve"> </w:t>
      </w:r>
      <w:r w:rsidR="004E384B">
        <w:rPr>
          <w:lang w:val="en-US"/>
        </w:rPr>
        <w:t>before</w:t>
      </w:r>
      <w:r w:rsidR="004E384B" w:rsidRPr="005D4613">
        <w:rPr>
          <w:lang w:val="en-US"/>
        </w:rPr>
        <w:t xml:space="preserve"> the biological process </w:t>
      </w:r>
      <w:r w:rsidR="004E384B">
        <w:rPr>
          <w:lang w:val="en-US"/>
        </w:rPr>
        <w:t xml:space="preserve">and </w:t>
      </w:r>
      <w:r w:rsidR="004E384B" w:rsidRPr="005D4613">
        <w:rPr>
          <w:lang w:val="en-US"/>
        </w:rPr>
        <w:t xml:space="preserve">effluent </w:t>
      </w:r>
      <w:r w:rsidR="004E384B" w:rsidRPr="000F0640">
        <w:rPr>
          <w:lang w:val="en-US"/>
        </w:rPr>
        <w:t xml:space="preserve">samples from an outlet pipe, sampling chamber, or the last chamber containing the treated wastewater before discharge. </w:t>
      </w:r>
      <w:r w:rsidR="003E0840">
        <w:rPr>
          <w:lang w:val="en-US"/>
        </w:rPr>
        <w:t xml:space="preserve">As the influent wastewater was not collected directly </w:t>
      </w:r>
      <w:r w:rsidR="00C916D2">
        <w:rPr>
          <w:lang w:val="en-US"/>
        </w:rPr>
        <w:t>after exiting the buildings, some pre-sedimentation likely occurred in the septic tank prior the sampling</w:t>
      </w:r>
      <w:r w:rsidR="00363264">
        <w:rPr>
          <w:lang w:val="en-US"/>
        </w:rPr>
        <w:t>.</w:t>
      </w:r>
    </w:p>
    <w:p w14:paraId="587FD794" w14:textId="0644E661" w:rsidR="00AA73E1" w:rsidRPr="00AA73E1" w:rsidRDefault="004E384B" w:rsidP="00D44D85">
      <w:pPr>
        <w:jc w:val="both"/>
        <w:rPr>
          <w:lang w:val="en-GB"/>
        </w:rPr>
      </w:pPr>
      <w:r w:rsidRPr="000F0640">
        <w:rPr>
          <w:lang w:val="en-US"/>
        </w:rPr>
        <w:t xml:space="preserve">On each sampling occasion the </w:t>
      </w:r>
      <w:r w:rsidRPr="00420AF3">
        <w:rPr>
          <w:lang w:val="en-US"/>
        </w:rPr>
        <w:t xml:space="preserve">wastewater </w:t>
      </w:r>
      <w:r w:rsidRPr="000F0640">
        <w:rPr>
          <w:lang w:val="en-US"/>
        </w:rPr>
        <w:t>temperature, total suspended solids (TSS)</w:t>
      </w:r>
      <w:r w:rsidRPr="00420AF3">
        <w:rPr>
          <w:lang w:val="en-US"/>
        </w:rPr>
        <w:t xml:space="preserve"> contents and </w:t>
      </w:r>
      <w:r w:rsidRPr="000F0640">
        <w:rPr>
          <w:lang w:val="en-US"/>
        </w:rPr>
        <w:t xml:space="preserve">pH </w:t>
      </w:r>
      <w:r w:rsidRPr="00420AF3">
        <w:rPr>
          <w:lang w:val="en-US"/>
        </w:rPr>
        <w:t>of the samples</w:t>
      </w:r>
      <w:r>
        <w:rPr>
          <w:lang w:val="en-US"/>
        </w:rPr>
        <w:t xml:space="preserve"> was </w:t>
      </w:r>
      <w:r w:rsidRPr="00420AF3">
        <w:rPr>
          <w:lang w:val="en-US"/>
        </w:rPr>
        <w:t xml:space="preserve">measured, </w:t>
      </w:r>
      <w:r w:rsidRPr="000F0640">
        <w:rPr>
          <w:lang w:val="en-US"/>
        </w:rPr>
        <w:t xml:space="preserve">and </w:t>
      </w:r>
      <w:r w:rsidRPr="00420AF3">
        <w:rPr>
          <w:lang w:val="en-US"/>
        </w:rPr>
        <w:t xml:space="preserve">their </w:t>
      </w:r>
      <w:r w:rsidRPr="000F0640">
        <w:rPr>
          <w:lang w:val="en-US"/>
        </w:rPr>
        <w:t xml:space="preserve">turbidity on </w:t>
      </w:r>
      <w:r w:rsidRPr="00293D7B">
        <w:rPr>
          <w:lang w:val="en-US"/>
        </w:rPr>
        <w:t>some</w:t>
      </w:r>
      <w:r w:rsidRPr="000F0640">
        <w:rPr>
          <w:lang w:val="en-US"/>
        </w:rPr>
        <w:t xml:space="preserve"> occasions</w:t>
      </w:r>
      <w:r w:rsidR="00D44D85">
        <w:rPr>
          <w:lang w:val="en-US"/>
        </w:rPr>
        <w:t xml:space="preserve"> and only in the Swedish samples</w:t>
      </w:r>
      <w:r w:rsidRPr="000F0640">
        <w:rPr>
          <w:lang w:val="en-US"/>
        </w:rPr>
        <w:t xml:space="preserve">. </w:t>
      </w:r>
      <w:r w:rsidR="00AA73E1" w:rsidRPr="003E16FB">
        <w:rPr>
          <w:lang w:val="en-US"/>
        </w:rPr>
        <w:lastRenderedPageBreak/>
        <w:t>The temperature and pH were measured using a WTW pH330 pH meter with a WTW SenTix41 pH electrode</w:t>
      </w:r>
      <w:r w:rsidR="00AA73E1">
        <w:rPr>
          <w:lang w:val="en-US"/>
        </w:rPr>
        <w:t xml:space="preserve"> (Swedish samples) and </w:t>
      </w:r>
      <w:r w:rsidR="00AA73E1">
        <w:rPr>
          <w:lang w:val="en-GB"/>
        </w:rPr>
        <w:t>a WTW</w:t>
      </w:r>
      <w:r w:rsidR="00AA73E1" w:rsidRPr="00C909CD">
        <w:rPr>
          <w:lang w:val="en-GB"/>
        </w:rPr>
        <w:t xml:space="preserve"> multi 350i</w:t>
      </w:r>
      <w:r w:rsidR="00AA73E1">
        <w:rPr>
          <w:lang w:val="en-GB"/>
        </w:rPr>
        <w:t xml:space="preserve"> with S</w:t>
      </w:r>
      <w:r w:rsidR="00AA73E1" w:rsidRPr="00C909CD">
        <w:rPr>
          <w:lang w:val="en-GB"/>
        </w:rPr>
        <w:t xml:space="preserve">entix electrode </w:t>
      </w:r>
      <w:r w:rsidR="00AA73E1">
        <w:rPr>
          <w:lang w:val="en-GB"/>
        </w:rPr>
        <w:t xml:space="preserve">(Finnish samples) </w:t>
      </w:r>
      <w:r w:rsidR="00AA73E1" w:rsidRPr="003E16FB">
        <w:rPr>
          <w:lang w:val="en-US"/>
        </w:rPr>
        <w:t>calibrated on each occasion (two-point calibration). The turbidity was measure</w:t>
      </w:r>
      <w:r w:rsidR="00791CB9">
        <w:rPr>
          <w:lang w:val="en-US"/>
        </w:rPr>
        <w:t>d</w:t>
      </w:r>
      <w:r w:rsidR="00AA73E1" w:rsidRPr="003E16FB">
        <w:rPr>
          <w:lang w:val="en-US"/>
        </w:rPr>
        <w:t xml:space="preserve"> based on ratio turbidimetric determination using a primary nephelometric light scatter signal (90°) to the transmitted light scatter signal (Model HACH 2100Q).</w:t>
      </w:r>
    </w:p>
    <w:p w14:paraId="02839A54" w14:textId="48D039B0" w:rsidR="00220697" w:rsidRDefault="004E384B" w:rsidP="00D44D85">
      <w:pPr>
        <w:spacing w:before="240" w:after="240"/>
        <w:jc w:val="both"/>
        <w:rPr>
          <w:lang w:val="en-US"/>
        </w:rPr>
      </w:pPr>
      <w:r w:rsidRPr="000F0640">
        <w:rPr>
          <w:lang w:val="en-US"/>
        </w:rPr>
        <w:t xml:space="preserve">In addition, the </w:t>
      </w:r>
      <w:r w:rsidRPr="005D4613">
        <w:rPr>
          <w:lang w:val="en-US"/>
        </w:rPr>
        <w:t xml:space="preserve">water temperature was continuously measured in the process tank of </w:t>
      </w:r>
      <w:r>
        <w:rPr>
          <w:lang w:val="en-US"/>
        </w:rPr>
        <w:t>three</w:t>
      </w:r>
      <w:r w:rsidRPr="005D4613">
        <w:rPr>
          <w:lang w:val="en-US"/>
        </w:rPr>
        <w:t xml:space="preserve"> </w:t>
      </w:r>
      <w:r>
        <w:rPr>
          <w:lang w:val="en-US"/>
        </w:rPr>
        <w:t>PP</w:t>
      </w:r>
      <w:r w:rsidRPr="005D4613">
        <w:rPr>
          <w:lang w:val="en-US"/>
        </w:rPr>
        <w:t xml:space="preserve"> </w:t>
      </w:r>
      <w:r w:rsidR="00D91263">
        <w:rPr>
          <w:lang w:val="en-US"/>
        </w:rPr>
        <w:t xml:space="preserve">(SBR1, ASF1 and ASF2) </w:t>
      </w:r>
      <w:r w:rsidRPr="005D4613">
        <w:rPr>
          <w:lang w:val="en-US"/>
        </w:rPr>
        <w:t>with HOBO® Pendant®</w:t>
      </w:r>
      <w:r>
        <w:rPr>
          <w:lang w:val="en-US"/>
        </w:rPr>
        <w:t>MX Temp (MX2201) loggers.</w:t>
      </w:r>
      <w:r w:rsidR="00D91263">
        <w:rPr>
          <w:lang w:val="en-US"/>
        </w:rPr>
        <w:t xml:space="preserve"> The three data files are provided separately. </w:t>
      </w:r>
      <w:r w:rsidR="0039508A">
        <w:rPr>
          <w:lang w:val="en-US"/>
        </w:rPr>
        <w:t>Air temperature data was retrieved from the Swedish meteorological institute (SMHI)</w:t>
      </w:r>
      <w:r w:rsidR="005743F7">
        <w:rPr>
          <w:lang w:val="en-US"/>
        </w:rPr>
        <w:t>, from the closest weather stations available to the locations of the package plants.</w:t>
      </w:r>
      <w:r w:rsidR="00D05533">
        <w:rPr>
          <w:lang w:val="en-US"/>
        </w:rPr>
        <w:t xml:space="preserve"> Two files are provided for </w:t>
      </w:r>
      <w:r w:rsidR="00663622">
        <w:rPr>
          <w:lang w:val="en-US"/>
        </w:rPr>
        <w:t>in case data</w:t>
      </w:r>
      <w:r w:rsidR="00D05533">
        <w:rPr>
          <w:lang w:val="en-US"/>
        </w:rPr>
        <w:t xml:space="preserve"> analysis comparing air and wastewater temperature</w:t>
      </w:r>
      <w:r w:rsidR="00663622">
        <w:rPr>
          <w:lang w:val="en-US"/>
        </w:rPr>
        <w:t xml:space="preserve"> is conducted</w:t>
      </w:r>
      <w:r w:rsidR="00D05533">
        <w:rPr>
          <w:lang w:val="en-US"/>
        </w:rPr>
        <w:t>.</w:t>
      </w:r>
    </w:p>
    <w:p w14:paraId="022ADB46" w14:textId="0DC440B7" w:rsidR="004E384B" w:rsidRDefault="004E384B" w:rsidP="004E384B">
      <w:pPr>
        <w:spacing w:before="240" w:after="240"/>
        <w:jc w:val="both"/>
        <w:rPr>
          <w:lang w:val="en-US"/>
        </w:rPr>
      </w:pPr>
      <w:r>
        <w:rPr>
          <w:lang w:val="en-US"/>
        </w:rPr>
        <w:t>Levels of BOD, phosphorus (total and dissolved: tot-P and dis-P, respectively), nitrogen (total, nitrite, nitrate and ammonium nitrogen: tot-N, NO</w:t>
      </w:r>
      <w:r w:rsidRPr="00711ACB">
        <w:rPr>
          <w:vertAlign w:val="subscript"/>
          <w:lang w:val="en-US"/>
        </w:rPr>
        <w:t>2</w:t>
      </w:r>
      <w:r>
        <w:rPr>
          <w:lang w:val="en-US"/>
        </w:rPr>
        <w:t>-N, NO</w:t>
      </w:r>
      <w:r w:rsidRPr="00711ACB">
        <w:rPr>
          <w:vertAlign w:val="subscript"/>
          <w:lang w:val="en-US"/>
        </w:rPr>
        <w:t>3</w:t>
      </w:r>
      <w:r>
        <w:rPr>
          <w:lang w:val="en-US"/>
        </w:rPr>
        <w:t>-N, NH</w:t>
      </w:r>
      <w:r w:rsidRPr="00711ACB">
        <w:rPr>
          <w:vertAlign w:val="superscript"/>
          <w:lang w:val="en-US"/>
        </w:rPr>
        <w:t>4</w:t>
      </w:r>
      <w:r w:rsidRPr="001A2577">
        <w:rPr>
          <w:vertAlign w:val="superscript"/>
          <w:lang w:val="en-US"/>
        </w:rPr>
        <w:t>+</w:t>
      </w:r>
      <w:r>
        <w:rPr>
          <w:lang w:val="en-US"/>
        </w:rPr>
        <w:t xml:space="preserve">-N), and the indicator microorganisms </w:t>
      </w:r>
      <w:r>
        <w:rPr>
          <w:i/>
          <w:iCs/>
          <w:lang w:val="en-US"/>
        </w:rPr>
        <w:t>Escherichia</w:t>
      </w:r>
      <w:r>
        <w:rPr>
          <w:lang w:val="en-US"/>
        </w:rPr>
        <w:t xml:space="preserve"> </w:t>
      </w:r>
      <w:r>
        <w:rPr>
          <w:i/>
          <w:iCs/>
          <w:lang w:val="en-US"/>
        </w:rPr>
        <w:t>coli</w:t>
      </w:r>
      <w:r>
        <w:rPr>
          <w:lang w:val="en-US"/>
        </w:rPr>
        <w:t xml:space="preserve"> and enterococci were measured in approximately 3 L grab samples of influent and effluent water (and chloride in some of these samples for facilities ASC, ASF1-3, SBR1-2 and TF). Portions of samples used for analyses of BOD and nutrients were stored frozen (&lt;-18°C) until analysis according to the corresponding standards, and portions used to determine densities of the bacteria were stored at 5 °C and examined in an accredited laboratory within 24 hours. </w:t>
      </w:r>
    </w:p>
    <w:p w14:paraId="7C1E5807" w14:textId="53615A9B" w:rsidR="00740072" w:rsidRDefault="00740072" w:rsidP="004E384B">
      <w:pPr>
        <w:spacing w:before="240" w:after="240"/>
        <w:jc w:val="both"/>
        <w:rPr>
          <w:lang w:val="en-US"/>
        </w:rPr>
      </w:pPr>
      <w:r w:rsidRPr="003A465B">
        <w:rPr>
          <w:b/>
          <w:sz w:val="20"/>
          <w:lang w:val="en-GB"/>
        </w:rPr>
        <w:t xml:space="preserve">Table </w:t>
      </w:r>
      <w:r>
        <w:rPr>
          <w:b/>
          <w:sz w:val="20"/>
          <w:lang w:val="en-GB"/>
        </w:rPr>
        <w:t>1</w:t>
      </w:r>
      <w:r w:rsidRPr="003A465B">
        <w:rPr>
          <w:sz w:val="20"/>
          <w:lang w:val="en-GB"/>
        </w:rPr>
        <w:t xml:space="preserve"> </w:t>
      </w:r>
      <w:r w:rsidRPr="00740072">
        <w:rPr>
          <w:sz w:val="20"/>
          <w:lang w:val="en-GB"/>
        </w:rPr>
        <w:t xml:space="preserve">Parameters </w:t>
      </w:r>
      <w:r>
        <w:rPr>
          <w:sz w:val="20"/>
          <w:lang w:val="en-GB"/>
        </w:rPr>
        <w:t xml:space="preserve">including abbreviations used in the file containing the raw data </w:t>
      </w:r>
      <w:r w:rsidRPr="00740072">
        <w:rPr>
          <w:sz w:val="20"/>
          <w:lang w:val="en-GB"/>
        </w:rPr>
        <w:t>an</w:t>
      </w:r>
      <w:r>
        <w:rPr>
          <w:sz w:val="20"/>
          <w:lang w:val="en-GB"/>
        </w:rPr>
        <w:t>d</w:t>
      </w:r>
      <w:r w:rsidRPr="00740072">
        <w:rPr>
          <w:sz w:val="20"/>
          <w:lang w:val="en-GB"/>
        </w:rPr>
        <w:t xml:space="preserve"> methods </w:t>
      </w:r>
      <w:r>
        <w:rPr>
          <w:sz w:val="20"/>
          <w:lang w:val="en-GB"/>
        </w:rPr>
        <w:t xml:space="preserve">of </w:t>
      </w:r>
      <w:r w:rsidRPr="00740072">
        <w:rPr>
          <w:sz w:val="20"/>
          <w:lang w:val="en-GB"/>
        </w:rPr>
        <w:t>analysis</w:t>
      </w:r>
      <w:r>
        <w:rPr>
          <w:sz w:val="20"/>
          <w:lang w:val="en-GB"/>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3"/>
        <w:gridCol w:w="2698"/>
        <w:gridCol w:w="2685"/>
        <w:gridCol w:w="2266"/>
      </w:tblGrid>
      <w:tr w:rsidR="007A324F" w14:paraId="168E8DF0" w14:textId="77777777" w:rsidTr="005318FC">
        <w:tc>
          <w:tcPr>
            <w:tcW w:w="1413" w:type="dxa"/>
          </w:tcPr>
          <w:p w14:paraId="2FA78D9D" w14:textId="77777777" w:rsidR="007A324F" w:rsidRPr="00076B68" w:rsidRDefault="007A324F" w:rsidP="00A50B82">
            <w:pPr>
              <w:rPr>
                <w:b/>
                <w:bCs/>
                <w:lang w:val="en-GB"/>
              </w:rPr>
            </w:pPr>
            <w:r w:rsidRPr="00076B68">
              <w:rPr>
                <w:b/>
                <w:bCs/>
                <w:lang w:val="en-GB"/>
              </w:rPr>
              <w:t>Abbreviation</w:t>
            </w:r>
          </w:p>
        </w:tc>
        <w:tc>
          <w:tcPr>
            <w:tcW w:w="2698" w:type="dxa"/>
          </w:tcPr>
          <w:p w14:paraId="49F0887E" w14:textId="77777777" w:rsidR="007A324F" w:rsidRPr="00076B68" w:rsidRDefault="007A324F" w:rsidP="00A50B82">
            <w:pPr>
              <w:rPr>
                <w:b/>
                <w:bCs/>
                <w:lang w:val="en-GB"/>
              </w:rPr>
            </w:pPr>
            <w:r w:rsidRPr="00076B68">
              <w:rPr>
                <w:b/>
                <w:bCs/>
                <w:lang w:val="en-GB"/>
              </w:rPr>
              <w:t>Parameter</w:t>
            </w:r>
          </w:p>
        </w:tc>
        <w:tc>
          <w:tcPr>
            <w:tcW w:w="4951" w:type="dxa"/>
            <w:gridSpan w:val="2"/>
          </w:tcPr>
          <w:p w14:paraId="43A7C71D" w14:textId="029BFB61" w:rsidR="007A324F" w:rsidRPr="00076B68" w:rsidRDefault="007A324F" w:rsidP="007A324F">
            <w:pPr>
              <w:jc w:val="center"/>
              <w:rPr>
                <w:b/>
                <w:bCs/>
                <w:lang w:val="en-GB"/>
              </w:rPr>
            </w:pPr>
            <w:r w:rsidRPr="00076B68">
              <w:rPr>
                <w:b/>
                <w:bCs/>
                <w:lang w:val="en-GB"/>
              </w:rPr>
              <w:t>Method(s) of analysis</w:t>
            </w:r>
          </w:p>
        </w:tc>
      </w:tr>
      <w:tr w:rsidR="00CC5D1E" w14:paraId="4D35F3CF" w14:textId="77777777" w:rsidTr="005318FC">
        <w:tc>
          <w:tcPr>
            <w:tcW w:w="1413" w:type="dxa"/>
          </w:tcPr>
          <w:p w14:paraId="159A38EA" w14:textId="77777777" w:rsidR="00CC5D1E" w:rsidRDefault="00CC5D1E" w:rsidP="00A50B82">
            <w:pPr>
              <w:rPr>
                <w:lang w:val="en-GB"/>
              </w:rPr>
            </w:pPr>
          </w:p>
        </w:tc>
        <w:tc>
          <w:tcPr>
            <w:tcW w:w="2698" w:type="dxa"/>
          </w:tcPr>
          <w:p w14:paraId="588631D6" w14:textId="77777777" w:rsidR="00CC5D1E" w:rsidRPr="00076B68" w:rsidRDefault="00CC5D1E" w:rsidP="00A50B82">
            <w:pPr>
              <w:rPr>
                <w:b/>
                <w:bCs/>
                <w:lang w:val="en-GB"/>
              </w:rPr>
            </w:pPr>
          </w:p>
        </w:tc>
        <w:tc>
          <w:tcPr>
            <w:tcW w:w="2685" w:type="dxa"/>
          </w:tcPr>
          <w:p w14:paraId="2F32CDDD" w14:textId="4C4037A0" w:rsidR="00CC5D1E" w:rsidRPr="00076B68" w:rsidRDefault="00952A2D" w:rsidP="00A50B82">
            <w:pPr>
              <w:rPr>
                <w:b/>
                <w:bCs/>
                <w:vertAlign w:val="superscript"/>
                <w:lang w:val="en-US"/>
              </w:rPr>
            </w:pPr>
            <w:r w:rsidRPr="00076B68">
              <w:rPr>
                <w:b/>
                <w:bCs/>
                <w:lang w:val="en-US"/>
              </w:rPr>
              <w:t>Facilities in Sweden</w:t>
            </w:r>
            <w:r w:rsidR="004F0238" w:rsidRPr="00076B68">
              <w:rPr>
                <w:b/>
                <w:bCs/>
                <w:vertAlign w:val="superscript"/>
                <w:lang w:val="en-US"/>
              </w:rPr>
              <w:t>1</w:t>
            </w:r>
          </w:p>
        </w:tc>
        <w:tc>
          <w:tcPr>
            <w:tcW w:w="2266" w:type="dxa"/>
          </w:tcPr>
          <w:p w14:paraId="4B105912" w14:textId="72C121F0" w:rsidR="00CC5D1E" w:rsidRPr="00076B68" w:rsidRDefault="00952A2D" w:rsidP="00A50B82">
            <w:pPr>
              <w:rPr>
                <w:b/>
                <w:bCs/>
                <w:vertAlign w:val="superscript"/>
                <w:lang w:val="en-GB"/>
              </w:rPr>
            </w:pPr>
            <w:r w:rsidRPr="00076B68">
              <w:rPr>
                <w:b/>
                <w:bCs/>
                <w:lang w:val="en-GB"/>
              </w:rPr>
              <w:t>Facilities in Finland</w:t>
            </w:r>
            <w:r w:rsidR="004F0238" w:rsidRPr="00D44D85">
              <w:rPr>
                <w:b/>
                <w:bCs/>
                <w:vertAlign w:val="superscript"/>
                <w:lang w:val="en-GB"/>
              </w:rPr>
              <w:t>2</w:t>
            </w:r>
          </w:p>
        </w:tc>
      </w:tr>
      <w:tr w:rsidR="009722ED" w14:paraId="576D1CFC" w14:textId="77777777" w:rsidTr="005318FC">
        <w:tc>
          <w:tcPr>
            <w:tcW w:w="1413" w:type="dxa"/>
          </w:tcPr>
          <w:p w14:paraId="75E7E0F6" w14:textId="77777777" w:rsidR="009722ED" w:rsidRDefault="009722ED" w:rsidP="00A50B82">
            <w:pPr>
              <w:rPr>
                <w:lang w:val="en-GB"/>
              </w:rPr>
            </w:pPr>
            <w:r>
              <w:rPr>
                <w:lang w:val="en-GB"/>
              </w:rPr>
              <w:t>BOD</w:t>
            </w:r>
          </w:p>
        </w:tc>
        <w:tc>
          <w:tcPr>
            <w:tcW w:w="2698" w:type="dxa"/>
          </w:tcPr>
          <w:p w14:paraId="5BAE4716" w14:textId="77777777" w:rsidR="009722ED" w:rsidRDefault="009722ED" w:rsidP="00A50B82">
            <w:pPr>
              <w:rPr>
                <w:lang w:val="en-GB"/>
              </w:rPr>
            </w:pPr>
            <w:r>
              <w:rPr>
                <w:lang w:val="en-GB"/>
              </w:rPr>
              <w:t>Biological oxygen demand</w:t>
            </w:r>
          </w:p>
        </w:tc>
        <w:tc>
          <w:tcPr>
            <w:tcW w:w="2685" w:type="dxa"/>
          </w:tcPr>
          <w:p w14:paraId="47E9EB70" w14:textId="24C7AF74" w:rsidR="009722ED" w:rsidRDefault="00415CA9" w:rsidP="00A50B82">
            <w:pPr>
              <w:rPr>
                <w:lang w:val="en-GB"/>
              </w:rPr>
            </w:pPr>
            <w:r w:rsidRPr="003E16FB">
              <w:rPr>
                <w:lang w:val="en-US"/>
              </w:rPr>
              <w:t>CSN EN 1899-1</w:t>
            </w:r>
          </w:p>
        </w:tc>
        <w:tc>
          <w:tcPr>
            <w:tcW w:w="2266" w:type="dxa"/>
          </w:tcPr>
          <w:p w14:paraId="73F9F65C" w14:textId="7B2962CE" w:rsidR="009722ED" w:rsidRDefault="00667D0F" w:rsidP="00A50B82">
            <w:pPr>
              <w:rPr>
                <w:lang w:val="en-GB"/>
              </w:rPr>
            </w:pPr>
            <w:r>
              <w:rPr>
                <w:lang w:val="en-US"/>
              </w:rPr>
              <w:t>CSN</w:t>
            </w:r>
            <w:r w:rsidRPr="00DF5D58">
              <w:rPr>
                <w:lang w:val="en-US"/>
              </w:rPr>
              <w:t>-EN 1899-1</w:t>
            </w:r>
          </w:p>
        </w:tc>
      </w:tr>
      <w:tr w:rsidR="000C6C29" w:rsidRPr="00197E9B" w14:paraId="2DD854E5" w14:textId="77777777" w:rsidTr="005318FC">
        <w:tc>
          <w:tcPr>
            <w:tcW w:w="1413" w:type="dxa"/>
          </w:tcPr>
          <w:p w14:paraId="0D4719AE" w14:textId="77777777" w:rsidR="000C6C29" w:rsidRDefault="000C6C29" w:rsidP="00A50B82">
            <w:pPr>
              <w:rPr>
                <w:lang w:val="en-GB"/>
              </w:rPr>
            </w:pPr>
          </w:p>
        </w:tc>
        <w:tc>
          <w:tcPr>
            <w:tcW w:w="2698" w:type="dxa"/>
          </w:tcPr>
          <w:p w14:paraId="7BB0DB4F" w14:textId="61F796E4" w:rsidR="000C6C29" w:rsidRDefault="003F6C54" w:rsidP="00A50B82">
            <w:pPr>
              <w:rPr>
                <w:lang w:val="en-GB"/>
              </w:rPr>
            </w:pPr>
            <w:r>
              <w:rPr>
                <w:lang w:val="en-GB"/>
              </w:rPr>
              <w:t xml:space="preserve">Chloride </w:t>
            </w:r>
          </w:p>
        </w:tc>
        <w:tc>
          <w:tcPr>
            <w:tcW w:w="2685" w:type="dxa"/>
          </w:tcPr>
          <w:p w14:paraId="4ADA6141" w14:textId="715F57C3" w:rsidR="000C6C29" w:rsidRPr="003E16FB" w:rsidRDefault="00197E9B" w:rsidP="00A50B82">
            <w:pPr>
              <w:rPr>
                <w:lang w:val="en-US"/>
              </w:rPr>
            </w:pPr>
            <w:r w:rsidRPr="003E16FB">
              <w:rPr>
                <w:lang w:val="en-US"/>
              </w:rPr>
              <w:t xml:space="preserve">liquid determination of anions according to CSN EN </w:t>
            </w:r>
            <w:r w:rsidRPr="003E16FB">
              <w:rPr>
                <w:lang w:val="en-GB"/>
              </w:rPr>
              <w:t xml:space="preserve">ISO 10304-1 and CSN EN 16192 </w:t>
            </w:r>
            <w:r w:rsidRPr="003E16FB">
              <w:rPr>
                <w:lang w:val="en-GB"/>
              </w:rPr>
              <w:fldChar w:fldCharType="begin" w:fldLock="1"/>
            </w:r>
            <w:r w:rsidRPr="003E16FB">
              <w:rPr>
                <w:lang w:val="en-GB"/>
              </w:rPr>
              <w:instrText>ADDIN CSL_CITATION {"citationItems":[{"id":"ITEM-1","itemData":{"author":[{"dropping-particle":"","family":"10304-1","given":"ISO","non-dropping-particle":"","parse-names":false,"suffix":""}],"id":"ITEM-1","issued":{"date-parts":[["2007"]]},"title":"ISO 10304-1:2007(en), Water quality — Determination of dissolved anions by liquid chromatography of ions — Part 1: Determination of bromide, chloride, fluoride, nitrate, nitrite, phosphate and sulfate","type":"legislation"},"uris":["http://www.mendeley.com/documents/?uuid=2745f04d-b679-3bb3-8665-cf33a9663a91"]}],"mendeley":{"formattedCitation":"(10304-1, 2007)","manualFormatting":"(ISO 10304-1, 2007)","plainTextFormattedCitation":"(10304-1, 2007)","previouslyFormattedCitation":"(10304-1, 2007)"},"properties":{"noteIndex":0},"schema":"https://github.com/citation-style-language/schema/raw/master/csl-citation.json"}</w:instrText>
            </w:r>
            <w:r w:rsidRPr="003E16FB">
              <w:rPr>
                <w:lang w:val="en-GB"/>
              </w:rPr>
              <w:fldChar w:fldCharType="separate"/>
            </w:r>
            <w:r w:rsidRPr="003E16FB">
              <w:rPr>
                <w:noProof/>
                <w:lang w:val="en-GB"/>
              </w:rPr>
              <w:t>(ISO 10304-1, 2007)</w:t>
            </w:r>
            <w:r w:rsidRPr="003E16FB">
              <w:rPr>
                <w:lang w:val="en-GB"/>
              </w:rPr>
              <w:fldChar w:fldCharType="end"/>
            </w:r>
          </w:p>
        </w:tc>
        <w:tc>
          <w:tcPr>
            <w:tcW w:w="2266" w:type="dxa"/>
          </w:tcPr>
          <w:p w14:paraId="36D1E8AF" w14:textId="67213712" w:rsidR="000C6C29" w:rsidRDefault="00197E9B" w:rsidP="00A50B82">
            <w:pPr>
              <w:rPr>
                <w:lang w:val="en-US"/>
              </w:rPr>
            </w:pPr>
            <w:r>
              <w:rPr>
                <w:lang w:val="en-GB"/>
              </w:rPr>
              <w:t>Not measured</w:t>
            </w:r>
          </w:p>
        </w:tc>
      </w:tr>
      <w:tr w:rsidR="009722ED" w14:paraId="632ADEC8" w14:textId="77777777" w:rsidTr="005318FC">
        <w:tc>
          <w:tcPr>
            <w:tcW w:w="1413" w:type="dxa"/>
          </w:tcPr>
          <w:p w14:paraId="0FFDC93D" w14:textId="77777777" w:rsidR="009722ED" w:rsidRDefault="009722ED" w:rsidP="00A50B82">
            <w:pPr>
              <w:rPr>
                <w:lang w:val="en-GB"/>
              </w:rPr>
            </w:pPr>
            <w:r>
              <w:rPr>
                <w:lang w:val="en-GB"/>
              </w:rPr>
              <w:t>DOC</w:t>
            </w:r>
          </w:p>
        </w:tc>
        <w:tc>
          <w:tcPr>
            <w:tcW w:w="2698" w:type="dxa"/>
          </w:tcPr>
          <w:p w14:paraId="161DECE6" w14:textId="77777777" w:rsidR="009722ED" w:rsidRDefault="009722ED" w:rsidP="00A50B82">
            <w:pPr>
              <w:rPr>
                <w:lang w:val="en-GB"/>
              </w:rPr>
            </w:pPr>
            <w:r>
              <w:rPr>
                <w:lang w:val="en-GB"/>
              </w:rPr>
              <w:t>Dissolved oxygen demand</w:t>
            </w:r>
          </w:p>
        </w:tc>
        <w:tc>
          <w:tcPr>
            <w:tcW w:w="2685" w:type="dxa"/>
          </w:tcPr>
          <w:p w14:paraId="1515EED3" w14:textId="4C57EB19" w:rsidR="009722ED" w:rsidRDefault="005F72AA" w:rsidP="00A50B82">
            <w:pPr>
              <w:rPr>
                <w:lang w:val="en-GB"/>
              </w:rPr>
            </w:pPr>
            <w:r w:rsidRPr="00F3475B">
              <w:rPr>
                <w:rFonts w:ascii="Calibri" w:hAnsi="Calibri" w:cs="Calibri"/>
                <w:i/>
                <w:iCs/>
                <w:noProof/>
                <w:sz w:val="20"/>
                <w:lang w:val="en-GB"/>
              </w:rPr>
              <w:t>CEN/TC 230. EN 1484:1997</w:t>
            </w:r>
          </w:p>
        </w:tc>
        <w:tc>
          <w:tcPr>
            <w:tcW w:w="2266" w:type="dxa"/>
          </w:tcPr>
          <w:p w14:paraId="0577E222" w14:textId="63E2F260" w:rsidR="009722ED" w:rsidRDefault="005F72AA" w:rsidP="00A50B82">
            <w:pPr>
              <w:rPr>
                <w:lang w:val="en-GB"/>
              </w:rPr>
            </w:pPr>
            <w:r w:rsidRPr="00F3475B">
              <w:rPr>
                <w:rFonts w:ascii="Calibri" w:hAnsi="Calibri" w:cs="Calibri"/>
                <w:i/>
                <w:iCs/>
                <w:noProof/>
                <w:sz w:val="20"/>
                <w:lang w:val="en-GB"/>
              </w:rPr>
              <w:t>CEN/TC 230. EN 1484:1997</w:t>
            </w:r>
          </w:p>
        </w:tc>
      </w:tr>
      <w:tr w:rsidR="009722ED" w14:paraId="0FAF22E8" w14:textId="77777777" w:rsidTr="005318FC">
        <w:tc>
          <w:tcPr>
            <w:tcW w:w="1413" w:type="dxa"/>
          </w:tcPr>
          <w:p w14:paraId="7EB193D7" w14:textId="77777777" w:rsidR="009722ED" w:rsidRDefault="009722ED" w:rsidP="00A50B82">
            <w:pPr>
              <w:rPr>
                <w:lang w:val="en-GB"/>
              </w:rPr>
            </w:pPr>
            <w:r>
              <w:rPr>
                <w:lang w:val="en-GB"/>
              </w:rPr>
              <w:t>Diss-P</w:t>
            </w:r>
          </w:p>
        </w:tc>
        <w:tc>
          <w:tcPr>
            <w:tcW w:w="2698" w:type="dxa"/>
          </w:tcPr>
          <w:p w14:paraId="7D81A29A" w14:textId="77777777" w:rsidR="009722ED" w:rsidRDefault="009722ED" w:rsidP="00A50B82">
            <w:pPr>
              <w:rPr>
                <w:lang w:val="en-GB"/>
              </w:rPr>
            </w:pPr>
            <w:r>
              <w:rPr>
                <w:lang w:val="en-GB"/>
              </w:rPr>
              <w:t>Dissolved phosphorus</w:t>
            </w:r>
          </w:p>
        </w:tc>
        <w:tc>
          <w:tcPr>
            <w:tcW w:w="2685" w:type="dxa"/>
          </w:tcPr>
          <w:p w14:paraId="7147E5C1" w14:textId="6F45B405" w:rsidR="009722ED" w:rsidRDefault="00293940" w:rsidP="00A50B82">
            <w:pPr>
              <w:rPr>
                <w:lang w:val="en-GB"/>
              </w:rPr>
            </w:pPr>
            <w:r>
              <w:rPr>
                <w:lang w:val="en-US"/>
              </w:rPr>
              <w:fldChar w:fldCharType="begin" w:fldLock="1"/>
            </w:r>
            <w:r>
              <w:rPr>
                <w:lang w:val="en-US"/>
              </w:rPr>
              <w:instrText>ADDIN CSL_CITATION {"citationItems":[{"id":"ITEM-1","itemData":{"URL":"https://www.sis.se/en/produkter/environment-health-protection-safety/water-quality/ssen1189/","accessed":{"date-parts":[["2022","6","22"]]},"author":[{"dropping-particle":"","family":"SS-EN 1189","given":"","non-dropping-particle":"","parse-names":false,"suffix":""}],"id":"ITEM-1","issued":{"date-parts":[["0"]]},"title":"SS-EN 1189 Standard - Water quality - Determination of phosphorus - Ammonium molybdate spectrometric method. Swedish Institute for Standards","type":"webpage"},"uris":["http://www.mendeley.com/documents/?uuid=9e0758f5-215d-3e1a-b85e-1c349ee9893f"]}],"mendeley":{"formattedCitation":"(SS-EN 1189, n.d.)","manualFormatting":"SS-EN 1189","plainTextFormattedCitation":"(SS-EN 1189, n.d.)","previouslyFormattedCitation":"(SS-EN 1189, n.d.)"},"properties":{"noteIndex":0},"schema":"https://github.com/citation-style-language/schema/raw/master/csl-citation.json"}</w:instrText>
            </w:r>
            <w:r>
              <w:rPr>
                <w:lang w:val="en-US"/>
              </w:rPr>
              <w:fldChar w:fldCharType="separate"/>
            </w:r>
            <w:r w:rsidRPr="009B5573">
              <w:rPr>
                <w:noProof/>
                <w:lang w:val="en-US"/>
              </w:rPr>
              <w:t>SS-EN 1189</w:t>
            </w:r>
            <w:r>
              <w:rPr>
                <w:lang w:val="en-US"/>
              </w:rPr>
              <w:fldChar w:fldCharType="end"/>
            </w:r>
            <w:r>
              <w:rPr>
                <w:lang w:val="en-US"/>
              </w:rPr>
              <w:t>:1996</w:t>
            </w:r>
            <w:r w:rsidRPr="003E16FB">
              <w:rPr>
                <w:lang w:val="en-US"/>
              </w:rPr>
              <w:t xml:space="preserve"> performance 6.4</w:t>
            </w:r>
            <w:r>
              <w:rPr>
                <w:lang w:val="en-US"/>
              </w:rPr>
              <w:t xml:space="preserve">; </w:t>
            </w:r>
            <w:r w:rsidR="0038428F" w:rsidRPr="003E16FB">
              <w:rPr>
                <w:lang w:val="en-US"/>
              </w:rPr>
              <w:t>A-031- 04</w:t>
            </w:r>
          </w:p>
        </w:tc>
        <w:tc>
          <w:tcPr>
            <w:tcW w:w="2266" w:type="dxa"/>
          </w:tcPr>
          <w:p w14:paraId="6E460809" w14:textId="716C637B" w:rsidR="009722ED" w:rsidRDefault="002B4F40" w:rsidP="00A50B82">
            <w:pPr>
              <w:rPr>
                <w:lang w:val="en-GB"/>
              </w:rPr>
            </w:pPr>
            <w:r>
              <w:rPr>
                <w:lang w:val="en-GB"/>
              </w:rPr>
              <w:t>Not measured</w:t>
            </w:r>
          </w:p>
        </w:tc>
      </w:tr>
      <w:tr w:rsidR="009722ED" w:rsidRPr="004F1B1D" w14:paraId="7397836F" w14:textId="77777777" w:rsidTr="005318FC">
        <w:tc>
          <w:tcPr>
            <w:tcW w:w="1413" w:type="dxa"/>
          </w:tcPr>
          <w:p w14:paraId="4CDAC578" w14:textId="77777777" w:rsidR="009722ED" w:rsidRPr="003D64DA" w:rsidRDefault="009722ED" w:rsidP="00A50B82">
            <w:pPr>
              <w:rPr>
                <w:lang w:val="es-ES"/>
              </w:rPr>
            </w:pPr>
            <w:r w:rsidRPr="003D64DA">
              <w:rPr>
                <w:lang w:val="es-ES"/>
              </w:rPr>
              <w:t>HN</w:t>
            </w:r>
            <w:r w:rsidRPr="007D4137">
              <w:rPr>
                <w:vertAlign w:val="subscript"/>
                <w:lang w:val="es-ES"/>
              </w:rPr>
              <w:t>4</w:t>
            </w:r>
            <w:r w:rsidRPr="003D64DA">
              <w:rPr>
                <w:lang w:val="es-ES"/>
              </w:rPr>
              <w:t>-N</w:t>
            </w:r>
          </w:p>
        </w:tc>
        <w:tc>
          <w:tcPr>
            <w:tcW w:w="2698" w:type="dxa"/>
          </w:tcPr>
          <w:p w14:paraId="7FD6665B" w14:textId="77777777" w:rsidR="009722ED" w:rsidRPr="003D64DA" w:rsidRDefault="009722ED" w:rsidP="00A50B82">
            <w:pPr>
              <w:rPr>
                <w:lang w:val="es-ES"/>
              </w:rPr>
            </w:pPr>
            <w:r>
              <w:rPr>
                <w:lang w:val="es-ES"/>
              </w:rPr>
              <w:t xml:space="preserve">Ammonium nitrogen </w:t>
            </w:r>
          </w:p>
        </w:tc>
        <w:tc>
          <w:tcPr>
            <w:tcW w:w="2685" w:type="dxa"/>
          </w:tcPr>
          <w:p w14:paraId="5F21A220" w14:textId="1E946D03" w:rsidR="009722ED" w:rsidRPr="004F1B1D" w:rsidRDefault="00293940" w:rsidP="004F1B1D">
            <w:pPr>
              <w:jc w:val="both"/>
              <w:rPr>
                <w:lang w:val="en-GB"/>
              </w:rPr>
            </w:pPr>
            <w:r>
              <w:rPr>
                <w:lang w:val="en-US"/>
              </w:rPr>
              <w:fldChar w:fldCharType="begin" w:fldLock="1"/>
            </w:r>
            <w:r>
              <w:rPr>
                <w:lang w:val="en-US"/>
              </w:rPr>
              <w:instrText>ADDIN CSL_CITATION {"citationItems":[{"id":"ITEM-1","itemData":{"URL":"https://www.sis.se/en/produkter/environment-health-protection-safety/water-quality/ssen1189/","accessed":{"date-parts":[["2022","6","22"]]},"author":[{"dropping-particle":"","family":"SS-EN 1189","given":"","non-dropping-particle":"","parse-names":false,"suffix":""}],"id":"ITEM-1","issued":{"date-parts":[["0"]]},"title":"SS-EN 1189 Standard - Water quality - Determination of phosphorus - Ammonium molybdate spectrometric method. Swedish Institute for Standards","type":"webpage"},"uris":["http://www.mendeley.com/documents/?uuid=9e0758f5-215d-3e1a-b85e-1c349ee9893f"]}],"mendeley":{"formattedCitation":"(SS-EN 1189, n.d.)","manualFormatting":"SS-EN 1189","plainTextFormattedCitation":"(SS-EN 1189, n.d.)","previouslyFormattedCitation":"(SS-EN 1189, n.d.)"},"properties":{"noteIndex":0},"schema":"https://github.com/citation-style-language/schema/raw/master/csl-citation.json"}</w:instrText>
            </w:r>
            <w:r>
              <w:rPr>
                <w:lang w:val="en-US"/>
              </w:rPr>
              <w:fldChar w:fldCharType="separate"/>
            </w:r>
            <w:r w:rsidRPr="009B5573">
              <w:rPr>
                <w:noProof/>
                <w:lang w:val="en-US"/>
              </w:rPr>
              <w:t>SS-EN 1189</w:t>
            </w:r>
            <w:r>
              <w:rPr>
                <w:lang w:val="en-US"/>
              </w:rPr>
              <w:fldChar w:fldCharType="end"/>
            </w:r>
            <w:r>
              <w:rPr>
                <w:lang w:val="en-US"/>
              </w:rPr>
              <w:t>:1996</w:t>
            </w:r>
            <w:r w:rsidRPr="003E16FB">
              <w:rPr>
                <w:lang w:val="en-US"/>
              </w:rPr>
              <w:t xml:space="preserve"> performance 6.4</w:t>
            </w:r>
            <w:r>
              <w:rPr>
                <w:lang w:val="en-US"/>
              </w:rPr>
              <w:t>;</w:t>
            </w:r>
            <w:r w:rsidR="004F1B1D">
              <w:rPr>
                <w:lang w:val="en-US"/>
              </w:rPr>
              <w:t xml:space="preserve"> </w:t>
            </w:r>
            <w:r w:rsidR="004F1B1D">
              <w:rPr>
                <w:lang w:val="en-US"/>
              </w:rPr>
              <w:fldChar w:fldCharType="begin" w:fldLock="1"/>
            </w:r>
            <w:r w:rsidR="004F1B1D">
              <w:rPr>
                <w:lang w:val="en-US"/>
              </w:rPr>
              <w:instrText>ADDIN CSL_CITATION {"citationItems":[{"id":"ITEM-1","itemData":{"abstract":"ISO - ISO 11732:2005 - Water quality — Determination of ammonium nitrogen — Method by flow analysis (CFA and FIA) and spectrometric detection","author":[{"dropping-particle":"","family":"ISO 11732","given":"","non-dropping-particle":"","parse-names":false,"suffix":""}],"id":"ITEM-1","issue":"1","issued":{"date-parts":[["0"]]},"title":"ISO 11732:2005 - Water quality - Determination of ammonium nitrogen - Method by flow analysis (CFA and FIA) and spectrometric detection","type":"legislation"},"uris":["http://www.mendeley.com/documents/?uuid=c86fc029-0e34-3e1f-9323-0a231f62b3f1"]}],"mendeley":{"formattedCitation":"(ISO 11732:2005, 2005)","manualFormatting":"ISO 11732","plainTextFormattedCitation":"(ISO 11732:2005, 2005)"},"properties":{"noteIndex":0},"schema":"https://github.com/citation-style-language/schema/raw/master/csl-citation.json"}</w:instrText>
            </w:r>
            <w:r w:rsidR="004F1B1D">
              <w:rPr>
                <w:lang w:val="en-US"/>
              </w:rPr>
              <w:fldChar w:fldCharType="separate"/>
            </w:r>
            <w:r w:rsidR="004F1B1D" w:rsidRPr="006D6BC9">
              <w:rPr>
                <w:noProof/>
                <w:lang w:val="en-US"/>
              </w:rPr>
              <w:t>ISO 11732</w:t>
            </w:r>
            <w:r w:rsidR="004F1B1D">
              <w:rPr>
                <w:lang w:val="en-US"/>
              </w:rPr>
              <w:fldChar w:fldCharType="end"/>
            </w:r>
            <w:r w:rsidR="004F1B1D">
              <w:rPr>
                <w:lang w:val="en-US"/>
              </w:rPr>
              <w:t xml:space="preserve"> and DIN 38 406 (Part 23, section 2) standard methods.</w:t>
            </w:r>
          </w:p>
        </w:tc>
        <w:tc>
          <w:tcPr>
            <w:tcW w:w="2266" w:type="dxa"/>
          </w:tcPr>
          <w:p w14:paraId="28558336" w14:textId="70CE2F62" w:rsidR="009722ED" w:rsidRPr="004F1B1D" w:rsidRDefault="00560870" w:rsidP="00A50B82">
            <w:pPr>
              <w:rPr>
                <w:lang w:val="en-GB"/>
              </w:rPr>
            </w:pPr>
            <w:r w:rsidRPr="00DF5D58">
              <w:rPr>
                <w:lang w:val="en-US"/>
              </w:rPr>
              <w:t>ISO 3032:1976 (IC106)</w:t>
            </w:r>
          </w:p>
        </w:tc>
      </w:tr>
      <w:tr w:rsidR="009722ED" w:rsidRPr="003D64DA" w14:paraId="2DEA02CB" w14:textId="77777777" w:rsidTr="005318FC">
        <w:tc>
          <w:tcPr>
            <w:tcW w:w="1413" w:type="dxa"/>
          </w:tcPr>
          <w:p w14:paraId="169A2AD8" w14:textId="77777777" w:rsidR="009722ED" w:rsidRPr="003D64DA" w:rsidRDefault="009722ED" w:rsidP="00A50B82">
            <w:pPr>
              <w:rPr>
                <w:lang w:val="es-ES"/>
              </w:rPr>
            </w:pPr>
            <w:r w:rsidRPr="003D64DA">
              <w:rPr>
                <w:lang w:val="es-ES"/>
              </w:rPr>
              <w:t>NO</w:t>
            </w:r>
            <w:r w:rsidRPr="007D4137">
              <w:rPr>
                <w:vertAlign w:val="subscript"/>
                <w:lang w:val="es-ES"/>
              </w:rPr>
              <w:t>2</w:t>
            </w:r>
            <w:r w:rsidRPr="003D64DA">
              <w:rPr>
                <w:lang w:val="es-ES"/>
              </w:rPr>
              <w:t>-N</w:t>
            </w:r>
          </w:p>
        </w:tc>
        <w:tc>
          <w:tcPr>
            <w:tcW w:w="2698" w:type="dxa"/>
          </w:tcPr>
          <w:p w14:paraId="336A5B24" w14:textId="77777777" w:rsidR="009722ED" w:rsidRPr="003D64DA" w:rsidRDefault="009722ED" w:rsidP="00A50B82">
            <w:pPr>
              <w:rPr>
                <w:lang w:val="es-ES"/>
              </w:rPr>
            </w:pPr>
            <w:r>
              <w:rPr>
                <w:lang w:val="es-ES"/>
              </w:rPr>
              <w:t>Nitrite nitrogen</w:t>
            </w:r>
          </w:p>
        </w:tc>
        <w:tc>
          <w:tcPr>
            <w:tcW w:w="2685" w:type="dxa"/>
          </w:tcPr>
          <w:p w14:paraId="1237302C" w14:textId="49FD3AE2" w:rsidR="009722ED" w:rsidRPr="003D64DA" w:rsidRDefault="00293940" w:rsidP="00A50B82">
            <w:pPr>
              <w:rPr>
                <w:lang w:val="es-ES"/>
              </w:rPr>
            </w:pPr>
            <w:r>
              <w:rPr>
                <w:lang w:val="en-US"/>
              </w:rPr>
              <w:fldChar w:fldCharType="begin" w:fldLock="1"/>
            </w:r>
            <w:r>
              <w:rPr>
                <w:lang w:val="en-US"/>
              </w:rPr>
              <w:instrText>ADDIN CSL_CITATION {"citationItems":[{"id":"ITEM-1","itemData":{"URL":"https://www.sis.se/en/produkter/environment-health-protection-safety/water-quality/ssen1189/","accessed":{"date-parts":[["2022","6","22"]]},"author":[{"dropping-particle":"","family":"SS-EN 1189","given":"","non-dropping-particle":"","parse-names":false,"suffix":""}],"id":"ITEM-1","issued":{"date-parts":[["0"]]},"title":"SS-EN 1189 Standard - Water quality - Determination of phosphorus - Ammonium molybdate spectrometric method. Swedish Institute for Standards","type":"webpage"},"uris":["http://www.mendeley.com/documents/?uuid=9e0758f5-215d-3e1a-b85e-1c349ee9893f"]}],"mendeley":{"formattedCitation":"(SS-EN 1189, n.d.)","manualFormatting":"SS-EN 1189","plainTextFormattedCitation":"(SS-EN 1189, n.d.)","previouslyFormattedCitation":"(SS-EN 1189, n.d.)"},"properties":{"noteIndex":0},"schema":"https://github.com/citation-style-language/schema/raw/master/csl-citation.json"}</w:instrText>
            </w:r>
            <w:r>
              <w:rPr>
                <w:lang w:val="en-US"/>
              </w:rPr>
              <w:fldChar w:fldCharType="separate"/>
            </w:r>
            <w:r w:rsidRPr="009B5573">
              <w:rPr>
                <w:noProof/>
                <w:lang w:val="en-US"/>
              </w:rPr>
              <w:t>SS-EN 1189</w:t>
            </w:r>
            <w:r>
              <w:rPr>
                <w:lang w:val="en-US"/>
              </w:rPr>
              <w:fldChar w:fldCharType="end"/>
            </w:r>
            <w:r>
              <w:rPr>
                <w:lang w:val="en-US"/>
              </w:rPr>
              <w:t>:1996</w:t>
            </w:r>
            <w:r w:rsidRPr="003E16FB">
              <w:rPr>
                <w:lang w:val="en-US"/>
              </w:rPr>
              <w:t xml:space="preserve"> performance 6.4</w:t>
            </w:r>
            <w:r>
              <w:rPr>
                <w:lang w:val="en-US"/>
              </w:rPr>
              <w:t>;</w:t>
            </w:r>
            <w:r w:rsidR="004C5294">
              <w:rPr>
                <w:lang w:val="en-US"/>
              </w:rPr>
              <w:t xml:space="preserve"> Q-001-04</w:t>
            </w:r>
          </w:p>
        </w:tc>
        <w:tc>
          <w:tcPr>
            <w:tcW w:w="2266" w:type="dxa"/>
          </w:tcPr>
          <w:p w14:paraId="6A3FD562" w14:textId="3097373C" w:rsidR="009722ED" w:rsidRPr="003D64DA" w:rsidRDefault="002B4F40" w:rsidP="00A50B82">
            <w:pPr>
              <w:rPr>
                <w:lang w:val="es-ES"/>
              </w:rPr>
            </w:pPr>
            <w:r>
              <w:rPr>
                <w:lang w:val="es-ES"/>
              </w:rPr>
              <w:t>Not applicable</w:t>
            </w:r>
          </w:p>
        </w:tc>
      </w:tr>
      <w:tr w:rsidR="009722ED" w:rsidRPr="003D64DA" w14:paraId="1AB5EC37" w14:textId="77777777" w:rsidTr="005318FC">
        <w:tc>
          <w:tcPr>
            <w:tcW w:w="1413" w:type="dxa"/>
          </w:tcPr>
          <w:p w14:paraId="0579F8B2" w14:textId="77777777" w:rsidR="009722ED" w:rsidRPr="003D64DA" w:rsidRDefault="009722ED" w:rsidP="00A50B82">
            <w:pPr>
              <w:rPr>
                <w:lang w:val="es-ES"/>
              </w:rPr>
            </w:pPr>
            <w:r w:rsidRPr="003D64DA">
              <w:rPr>
                <w:lang w:val="es-ES"/>
              </w:rPr>
              <w:t>NO</w:t>
            </w:r>
            <w:r w:rsidRPr="007D4137">
              <w:rPr>
                <w:vertAlign w:val="subscript"/>
                <w:lang w:val="es-ES"/>
              </w:rPr>
              <w:t>2-3</w:t>
            </w:r>
            <w:r w:rsidRPr="003D64DA">
              <w:rPr>
                <w:lang w:val="es-ES"/>
              </w:rPr>
              <w:t>- N</w:t>
            </w:r>
            <w:r w:rsidRPr="007D4137">
              <w:rPr>
                <w:vertAlign w:val="subscript"/>
                <w:lang w:val="es-ES"/>
              </w:rPr>
              <w:t>2</w:t>
            </w:r>
          </w:p>
        </w:tc>
        <w:tc>
          <w:tcPr>
            <w:tcW w:w="2698" w:type="dxa"/>
          </w:tcPr>
          <w:p w14:paraId="33467B10" w14:textId="77777777" w:rsidR="009722ED" w:rsidRPr="003D64DA" w:rsidRDefault="009722ED" w:rsidP="00A50B82">
            <w:pPr>
              <w:rPr>
                <w:lang w:val="es-ES"/>
              </w:rPr>
            </w:pPr>
            <w:r>
              <w:rPr>
                <w:lang w:val="es-ES"/>
              </w:rPr>
              <w:t xml:space="preserve">Nitrite and nitrate nitrogen </w:t>
            </w:r>
          </w:p>
        </w:tc>
        <w:tc>
          <w:tcPr>
            <w:tcW w:w="2685" w:type="dxa"/>
          </w:tcPr>
          <w:p w14:paraId="31EBE9B5" w14:textId="74CD45CC" w:rsidR="009722ED" w:rsidRPr="003D64DA" w:rsidRDefault="002B4F40" w:rsidP="00A50B82">
            <w:pPr>
              <w:rPr>
                <w:lang w:val="es-ES"/>
              </w:rPr>
            </w:pPr>
            <w:r>
              <w:rPr>
                <w:lang w:val="es-ES"/>
              </w:rPr>
              <w:t>Not applicable</w:t>
            </w:r>
          </w:p>
        </w:tc>
        <w:tc>
          <w:tcPr>
            <w:tcW w:w="2266" w:type="dxa"/>
          </w:tcPr>
          <w:p w14:paraId="427196E0" w14:textId="7AEC1DFB" w:rsidR="009722ED" w:rsidRPr="003D64DA" w:rsidRDefault="00395C7C" w:rsidP="00A50B82">
            <w:pPr>
              <w:rPr>
                <w:lang w:val="es-ES"/>
              </w:rPr>
            </w:pPr>
            <w:r w:rsidRPr="00DF5D58">
              <w:rPr>
                <w:lang w:val="en-US"/>
              </w:rPr>
              <w:t>ISO 13395:1997 FIA-technique (IC104)</w:t>
            </w:r>
          </w:p>
        </w:tc>
      </w:tr>
      <w:tr w:rsidR="009722ED" w:rsidRPr="003D64DA" w14:paraId="7965B52D" w14:textId="77777777" w:rsidTr="005318FC">
        <w:tc>
          <w:tcPr>
            <w:tcW w:w="1413" w:type="dxa"/>
          </w:tcPr>
          <w:p w14:paraId="5033AF7B" w14:textId="77777777" w:rsidR="009722ED" w:rsidRPr="003D64DA" w:rsidRDefault="009722ED" w:rsidP="00A50B82">
            <w:pPr>
              <w:rPr>
                <w:lang w:val="es-ES"/>
              </w:rPr>
            </w:pPr>
            <w:r w:rsidRPr="003D64DA">
              <w:rPr>
                <w:lang w:val="es-ES"/>
              </w:rPr>
              <w:t>NO</w:t>
            </w:r>
            <w:r w:rsidRPr="007D4137">
              <w:rPr>
                <w:vertAlign w:val="subscript"/>
                <w:lang w:val="es-ES"/>
              </w:rPr>
              <w:t>3</w:t>
            </w:r>
            <w:r w:rsidRPr="003D64DA">
              <w:rPr>
                <w:lang w:val="es-ES"/>
              </w:rPr>
              <w:t>-N</w:t>
            </w:r>
          </w:p>
        </w:tc>
        <w:tc>
          <w:tcPr>
            <w:tcW w:w="2698" w:type="dxa"/>
          </w:tcPr>
          <w:p w14:paraId="69DFCFAF" w14:textId="77777777" w:rsidR="009722ED" w:rsidRPr="003D64DA" w:rsidRDefault="009722ED" w:rsidP="00A50B82">
            <w:pPr>
              <w:rPr>
                <w:lang w:val="es-ES"/>
              </w:rPr>
            </w:pPr>
            <w:r>
              <w:rPr>
                <w:lang w:val="es-ES"/>
              </w:rPr>
              <w:t>Nitrate nitrogen</w:t>
            </w:r>
          </w:p>
        </w:tc>
        <w:tc>
          <w:tcPr>
            <w:tcW w:w="2685" w:type="dxa"/>
          </w:tcPr>
          <w:p w14:paraId="4A2F49C9" w14:textId="3C8D6D80" w:rsidR="009722ED" w:rsidRPr="003D64DA" w:rsidRDefault="00293940" w:rsidP="00A50B82">
            <w:pPr>
              <w:rPr>
                <w:lang w:val="es-ES"/>
              </w:rPr>
            </w:pPr>
            <w:r>
              <w:rPr>
                <w:lang w:val="en-US"/>
              </w:rPr>
              <w:fldChar w:fldCharType="begin" w:fldLock="1"/>
            </w:r>
            <w:r>
              <w:rPr>
                <w:lang w:val="en-US"/>
              </w:rPr>
              <w:instrText>ADDIN CSL_CITATION {"citationItems":[{"id":"ITEM-1","itemData":{"URL":"https://www.sis.se/en/produkter/environment-health-protection-safety/water-quality/ssen1189/","accessed":{"date-parts":[["2022","6","22"]]},"author":[{"dropping-particle":"","family":"SS-EN 1189","given":"","non-dropping-particle":"","parse-names":false,"suffix":""}],"id":"ITEM-1","issued":{"date-parts":[["0"]]},"title":"SS-EN 1189 Standard - Water quality - Determination of phosphorus - Ammonium molybdate spectrometric method. Swedish Institute for Standards","type":"webpage"},"uris":["http://www.mendeley.com/documents/?uuid=9e0758f5-215d-3e1a-b85e-1c349ee9893f"]}],"mendeley":{"formattedCitation":"(SS-EN 1189, n.d.)","manualFormatting":"SS-EN 1189","plainTextFormattedCitation":"(SS-EN 1189, n.d.)","previouslyFormattedCitation":"(SS-EN 1189, n.d.)"},"properties":{"noteIndex":0},"schema":"https://github.com/citation-style-language/schema/raw/master/csl-citation.json"}</w:instrText>
            </w:r>
            <w:r>
              <w:rPr>
                <w:lang w:val="en-US"/>
              </w:rPr>
              <w:fldChar w:fldCharType="separate"/>
            </w:r>
            <w:r w:rsidRPr="009B5573">
              <w:rPr>
                <w:noProof/>
                <w:lang w:val="en-US"/>
              </w:rPr>
              <w:t>SS-EN 1189</w:t>
            </w:r>
            <w:r>
              <w:rPr>
                <w:lang w:val="en-US"/>
              </w:rPr>
              <w:fldChar w:fldCharType="end"/>
            </w:r>
            <w:r>
              <w:rPr>
                <w:lang w:val="en-US"/>
              </w:rPr>
              <w:t>:1996</w:t>
            </w:r>
            <w:r w:rsidRPr="003E16FB">
              <w:rPr>
                <w:lang w:val="en-US"/>
              </w:rPr>
              <w:t xml:space="preserve"> performance 6.4</w:t>
            </w:r>
            <w:r>
              <w:rPr>
                <w:lang w:val="en-US"/>
              </w:rPr>
              <w:t>;</w:t>
            </w:r>
            <w:r w:rsidR="004C5294">
              <w:rPr>
                <w:lang w:val="en-US"/>
              </w:rPr>
              <w:t xml:space="preserve"> Q-001-04</w:t>
            </w:r>
          </w:p>
        </w:tc>
        <w:tc>
          <w:tcPr>
            <w:tcW w:w="2266" w:type="dxa"/>
          </w:tcPr>
          <w:p w14:paraId="132E7C5D" w14:textId="01FB8C03" w:rsidR="009722ED" w:rsidRPr="003D64DA" w:rsidRDefault="002B4F40" w:rsidP="00A50B82">
            <w:pPr>
              <w:rPr>
                <w:lang w:val="es-ES"/>
              </w:rPr>
            </w:pPr>
            <w:r>
              <w:rPr>
                <w:lang w:val="es-ES"/>
              </w:rPr>
              <w:t>Not applicable</w:t>
            </w:r>
          </w:p>
        </w:tc>
      </w:tr>
      <w:tr w:rsidR="009722ED" w:rsidRPr="003D64DA" w14:paraId="6A995FD7" w14:textId="77777777" w:rsidTr="005318FC">
        <w:tc>
          <w:tcPr>
            <w:tcW w:w="1413" w:type="dxa"/>
          </w:tcPr>
          <w:p w14:paraId="4DE484CB" w14:textId="77777777" w:rsidR="009722ED" w:rsidRPr="003D64DA" w:rsidRDefault="009722ED" w:rsidP="00A50B82">
            <w:pPr>
              <w:rPr>
                <w:lang w:val="es-ES"/>
              </w:rPr>
            </w:pPr>
            <w:r w:rsidRPr="003D64DA">
              <w:rPr>
                <w:lang w:val="es-ES"/>
              </w:rPr>
              <w:t>N-tot</w:t>
            </w:r>
          </w:p>
        </w:tc>
        <w:tc>
          <w:tcPr>
            <w:tcW w:w="2698" w:type="dxa"/>
          </w:tcPr>
          <w:p w14:paraId="52C74CEA" w14:textId="77777777" w:rsidR="009722ED" w:rsidRPr="003D64DA" w:rsidRDefault="009722ED" w:rsidP="00A50B82">
            <w:pPr>
              <w:rPr>
                <w:lang w:val="es-ES"/>
              </w:rPr>
            </w:pPr>
            <w:r>
              <w:rPr>
                <w:lang w:val="es-ES"/>
              </w:rPr>
              <w:t>Total nitrogen</w:t>
            </w:r>
          </w:p>
        </w:tc>
        <w:tc>
          <w:tcPr>
            <w:tcW w:w="2685" w:type="dxa"/>
          </w:tcPr>
          <w:p w14:paraId="42DE9FCC" w14:textId="0CACC9DE" w:rsidR="009722ED" w:rsidRPr="003D64DA" w:rsidRDefault="00293940" w:rsidP="00A50B82">
            <w:pPr>
              <w:rPr>
                <w:lang w:val="es-ES"/>
              </w:rPr>
            </w:pPr>
            <w:r>
              <w:rPr>
                <w:lang w:val="en-US"/>
              </w:rPr>
              <w:fldChar w:fldCharType="begin" w:fldLock="1"/>
            </w:r>
            <w:r>
              <w:rPr>
                <w:lang w:val="en-US"/>
              </w:rPr>
              <w:instrText>ADDIN CSL_CITATION {"citationItems":[{"id":"ITEM-1","itemData":{"URL":"https://www.sis.se/en/produkter/environment-health-protection-safety/water-quality/ssen1189/","accessed":{"date-parts":[["2022","6","22"]]},"author":[{"dropping-particle":"","family":"SS-EN 1189","given":"","non-dropping-particle":"","parse-names":false,"suffix":""}],"id":"ITEM-1","issued":{"date-parts":[["0"]]},"title":"SS-EN 1189 Standard - Water quality - Determination of phosphorus - Ammonium molybdate spectrometric method. Swedish Institute for Standards","type":"webpage"},"uris":["http://www.mendeley.com/documents/?uuid=9e0758f5-215d-3e1a-b85e-1c349ee9893f"]}],"mendeley":{"formattedCitation":"(SS-EN 1189, n.d.)","manualFormatting":"SS-EN 1189","plainTextFormattedCitation":"(SS-EN 1189, n.d.)","previouslyFormattedCitation":"(SS-EN 1189, n.d.)"},"properties":{"noteIndex":0},"schema":"https://github.com/citation-style-language/schema/raw/master/csl-citation.json"}</w:instrText>
            </w:r>
            <w:r>
              <w:rPr>
                <w:lang w:val="en-US"/>
              </w:rPr>
              <w:fldChar w:fldCharType="separate"/>
            </w:r>
            <w:r w:rsidRPr="009B5573">
              <w:rPr>
                <w:noProof/>
                <w:lang w:val="en-US"/>
              </w:rPr>
              <w:t>SS-EN 1189</w:t>
            </w:r>
            <w:r>
              <w:rPr>
                <w:lang w:val="en-US"/>
              </w:rPr>
              <w:fldChar w:fldCharType="end"/>
            </w:r>
            <w:r>
              <w:rPr>
                <w:lang w:val="en-US"/>
              </w:rPr>
              <w:t>:1996</w:t>
            </w:r>
            <w:r w:rsidRPr="003E16FB">
              <w:rPr>
                <w:lang w:val="en-US"/>
              </w:rPr>
              <w:t xml:space="preserve"> performance 6.4</w:t>
            </w:r>
            <w:r>
              <w:rPr>
                <w:lang w:val="en-US"/>
              </w:rPr>
              <w:t>;</w:t>
            </w:r>
            <w:r w:rsidR="00FD46BA">
              <w:rPr>
                <w:lang w:val="en-US"/>
              </w:rPr>
              <w:t xml:space="preserve"> Q-003-04</w:t>
            </w:r>
          </w:p>
        </w:tc>
        <w:tc>
          <w:tcPr>
            <w:tcW w:w="2266" w:type="dxa"/>
          </w:tcPr>
          <w:p w14:paraId="71A53970" w14:textId="0873C139" w:rsidR="009722ED" w:rsidRPr="003D64DA" w:rsidRDefault="00A7099A" w:rsidP="00A50B82">
            <w:pPr>
              <w:rPr>
                <w:lang w:val="es-ES"/>
              </w:rPr>
            </w:pPr>
            <w:r w:rsidRPr="00DF5D58">
              <w:rPr>
                <w:lang w:val="en-US"/>
              </w:rPr>
              <w:t>ISO 11905-1:1998 FIA-technique</w:t>
            </w:r>
          </w:p>
        </w:tc>
      </w:tr>
      <w:tr w:rsidR="00EC4607" w:rsidRPr="003D64DA" w14:paraId="0650160F" w14:textId="77777777" w:rsidTr="005318FC">
        <w:tc>
          <w:tcPr>
            <w:tcW w:w="1413" w:type="dxa"/>
          </w:tcPr>
          <w:p w14:paraId="3A3FAA71" w14:textId="719ED11E" w:rsidR="00EC4607" w:rsidRPr="00DC7C71" w:rsidRDefault="00DC7C71" w:rsidP="00A50B82">
            <w:pPr>
              <w:rPr>
                <w:lang w:val="es-ES"/>
              </w:rPr>
            </w:pPr>
            <w:r w:rsidRPr="00DF5D58">
              <w:rPr>
                <w:lang w:val="en-US"/>
              </w:rPr>
              <w:t>PO</w:t>
            </w:r>
            <w:r w:rsidRPr="00DF5D58">
              <w:rPr>
                <w:vertAlign w:val="subscript"/>
                <w:lang w:val="en-US"/>
              </w:rPr>
              <w:t>4</w:t>
            </w:r>
            <w:r>
              <w:rPr>
                <w:lang w:val="en-US"/>
              </w:rPr>
              <w:t>-P</w:t>
            </w:r>
          </w:p>
        </w:tc>
        <w:tc>
          <w:tcPr>
            <w:tcW w:w="2698" w:type="dxa"/>
          </w:tcPr>
          <w:p w14:paraId="377A7AA2" w14:textId="2935D42C" w:rsidR="00EC4607" w:rsidRDefault="00DC7C71" w:rsidP="00A50B82">
            <w:pPr>
              <w:rPr>
                <w:lang w:val="es-ES"/>
              </w:rPr>
            </w:pPr>
            <w:r>
              <w:rPr>
                <w:lang w:val="es-ES"/>
              </w:rPr>
              <w:t>Orthophosphate</w:t>
            </w:r>
          </w:p>
        </w:tc>
        <w:tc>
          <w:tcPr>
            <w:tcW w:w="2685" w:type="dxa"/>
          </w:tcPr>
          <w:p w14:paraId="70BF5A90" w14:textId="7D460385" w:rsidR="00EC4607" w:rsidRDefault="0069014C" w:rsidP="00A50B82">
            <w:pPr>
              <w:rPr>
                <w:lang w:val="en-US"/>
              </w:rPr>
            </w:pPr>
            <w:r>
              <w:rPr>
                <w:lang w:val="en-US"/>
              </w:rPr>
              <w:t>Not measured</w:t>
            </w:r>
          </w:p>
        </w:tc>
        <w:tc>
          <w:tcPr>
            <w:tcW w:w="2266" w:type="dxa"/>
          </w:tcPr>
          <w:p w14:paraId="78022B9D" w14:textId="4F9F3C5D" w:rsidR="00EC4607" w:rsidRPr="003D64DA" w:rsidRDefault="00CC3F19" w:rsidP="00A50B82">
            <w:pPr>
              <w:rPr>
                <w:lang w:val="es-ES"/>
              </w:rPr>
            </w:pPr>
            <w:r>
              <w:rPr>
                <w:lang w:val="fi-FI"/>
              </w:rPr>
              <w:t>ISO 15681-1:2005(IC101)</w:t>
            </w:r>
          </w:p>
        </w:tc>
      </w:tr>
      <w:tr w:rsidR="009722ED" w14:paraId="5FF6B248" w14:textId="77777777" w:rsidTr="005318FC">
        <w:tc>
          <w:tcPr>
            <w:tcW w:w="1413" w:type="dxa"/>
          </w:tcPr>
          <w:p w14:paraId="18FEB983" w14:textId="77777777" w:rsidR="009722ED" w:rsidRDefault="009722ED" w:rsidP="00A50B82">
            <w:pPr>
              <w:rPr>
                <w:lang w:val="en-GB"/>
              </w:rPr>
            </w:pPr>
            <w:r>
              <w:rPr>
                <w:lang w:val="en-GB"/>
              </w:rPr>
              <w:t>TOC</w:t>
            </w:r>
          </w:p>
        </w:tc>
        <w:tc>
          <w:tcPr>
            <w:tcW w:w="2698" w:type="dxa"/>
          </w:tcPr>
          <w:p w14:paraId="7F1F9A79" w14:textId="77777777" w:rsidR="009722ED" w:rsidRDefault="009722ED" w:rsidP="00A50B82">
            <w:pPr>
              <w:rPr>
                <w:lang w:val="en-GB"/>
              </w:rPr>
            </w:pPr>
            <w:r>
              <w:rPr>
                <w:lang w:val="en-GB"/>
              </w:rPr>
              <w:t>Total organic carbon</w:t>
            </w:r>
          </w:p>
        </w:tc>
        <w:tc>
          <w:tcPr>
            <w:tcW w:w="2685" w:type="dxa"/>
          </w:tcPr>
          <w:p w14:paraId="7A760386" w14:textId="147933FB" w:rsidR="009722ED" w:rsidRDefault="005F72AA" w:rsidP="00A50B82">
            <w:pPr>
              <w:rPr>
                <w:lang w:val="en-GB"/>
              </w:rPr>
            </w:pPr>
            <w:r w:rsidRPr="00F3475B">
              <w:rPr>
                <w:rFonts w:ascii="Calibri" w:hAnsi="Calibri" w:cs="Calibri"/>
                <w:i/>
                <w:iCs/>
                <w:noProof/>
                <w:sz w:val="20"/>
                <w:lang w:val="en-GB"/>
              </w:rPr>
              <w:t>CEN/TC 230. EN 1484:1997</w:t>
            </w:r>
          </w:p>
        </w:tc>
        <w:tc>
          <w:tcPr>
            <w:tcW w:w="2266" w:type="dxa"/>
          </w:tcPr>
          <w:p w14:paraId="1C72175B" w14:textId="1ECF8FDD" w:rsidR="009722ED" w:rsidRDefault="00E179B1" w:rsidP="00A50B82">
            <w:pPr>
              <w:rPr>
                <w:lang w:val="en-GB"/>
              </w:rPr>
            </w:pPr>
            <w:r>
              <w:rPr>
                <w:lang w:val="en-GB"/>
              </w:rPr>
              <w:t>Not measured</w:t>
            </w:r>
          </w:p>
        </w:tc>
      </w:tr>
      <w:tr w:rsidR="009722ED" w14:paraId="273B89E7" w14:textId="77777777" w:rsidTr="005318FC">
        <w:tc>
          <w:tcPr>
            <w:tcW w:w="1413" w:type="dxa"/>
          </w:tcPr>
          <w:p w14:paraId="16226527" w14:textId="77777777" w:rsidR="009722ED" w:rsidRDefault="009722ED" w:rsidP="00A50B82">
            <w:pPr>
              <w:rPr>
                <w:lang w:val="en-GB"/>
              </w:rPr>
            </w:pPr>
            <w:r>
              <w:rPr>
                <w:lang w:val="en-GB"/>
              </w:rPr>
              <w:lastRenderedPageBreak/>
              <w:t>Tot-P</w:t>
            </w:r>
          </w:p>
        </w:tc>
        <w:tc>
          <w:tcPr>
            <w:tcW w:w="2698" w:type="dxa"/>
          </w:tcPr>
          <w:p w14:paraId="408F3959" w14:textId="77777777" w:rsidR="009722ED" w:rsidRDefault="009722ED" w:rsidP="00A50B82">
            <w:pPr>
              <w:rPr>
                <w:lang w:val="en-GB"/>
              </w:rPr>
            </w:pPr>
            <w:r>
              <w:rPr>
                <w:lang w:val="en-GB"/>
              </w:rPr>
              <w:t>Total phosphorus</w:t>
            </w:r>
          </w:p>
        </w:tc>
        <w:tc>
          <w:tcPr>
            <w:tcW w:w="2685" w:type="dxa"/>
          </w:tcPr>
          <w:p w14:paraId="5197DD4E" w14:textId="16FFDE9A" w:rsidR="009722ED" w:rsidRDefault="00B553DB" w:rsidP="00A50B82">
            <w:pPr>
              <w:rPr>
                <w:lang w:val="en-GB"/>
              </w:rPr>
            </w:pPr>
            <w:r>
              <w:rPr>
                <w:lang w:val="en-US"/>
              </w:rPr>
              <w:fldChar w:fldCharType="begin" w:fldLock="1"/>
            </w:r>
            <w:r>
              <w:rPr>
                <w:lang w:val="en-US"/>
              </w:rPr>
              <w:instrText>ADDIN CSL_CITATION {"citationItems":[{"id":"ITEM-1","itemData":{"URL":"https://www.sis.se/en/produkter/environment-health-protection-safety/water-quality/ssen1189/","accessed":{"date-parts":[["2022","6","22"]]},"author":[{"dropping-particle":"","family":"SS-EN 1189","given":"","non-dropping-particle":"","parse-names":false,"suffix":""}],"id":"ITEM-1","issued":{"date-parts":[["0"]]},"title":"SS-EN 1189 Standard - Water quality - Determination of phosphorus - Ammonium molybdate spectrometric method. Swedish Institute for Standards","type":"webpage"},"uris":["http://www.mendeley.com/documents/?uuid=9e0758f5-215d-3e1a-b85e-1c349ee9893f"]}],"mendeley":{"formattedCitation":"(SS-EN 1189, n.d.)","manualFormatting":"SS-EN 1189","plainTextFormattedCitation":"(SS-EN 1189, n.d.)","previouslyFormattedCitation":"(SS-EN 1189, n.d.)"},"properties":{"noteIndex":0},"schema":"https://github.com/citation-style-language/schema/raw/master/csl-citation.json"}</w:instrText>
            </w:r>
            <w:r>
              <w:rPr>
                <w:lang w:val="en-US"/>
              </w:rPr>
              <w:fldChar w:fldCharType="separate"/>
            </w:r>
            <w:r w:rsidRPr="009B5573">
              <w:rPr>
                <w:noProof/>
                <w:lang w:val="en-US"/>
              </w:rPr>
              <w:t>SS-EN 1189</w:t>
            </w:r>
            <w:r>
              <w:rPr>
                <w:lang w:val="en-US"/>
              </w:rPr>
              <w:fldChar w:fldCharType="end"/>
            </w:r>
            <w:r>
              <w:rPr>
                <w:lang w:val="en-US"/>
              </w:rPr>
              <w:t>:1996</w:t>
            </w:r>
            <w:r w:rsidRPr="003E16FB">
              <w:rPr>
                <w:lang w:val="en-US"/>
              </w:rPr>
              <w:t xml:space="preserve"> performance 6.4</w:t>
            </w:r>
            <w:r>
              <w:rPr>
                <w:lang w:val="en-US"/>
              </w:rPr>
              <w:t>;</w:t>
            </w:r>
            <w:r w:rsidR="0038428F">
              <w:rPr>
                <w:lang w:val="en-US"/>
              </w:rPr>
              <w:t xml:space="preserve"> </w:t>
            </w:r>
            <w:r w:rsidR="0038428F" w:rsidRPr="003E16FB">
              <w:rPr>
                <w:lang w:val="en-US"/>
              </w:rPr>
              <w:t>A-031- 04</w:t>
            </w:r>
          </w:p>
        </w:tc>
        <w:tc>
          <w:tcPr>
            <w:tcW w:w="2266" w:type="dxa"/>
          </w:tcPr>
          <w:p w14:paraId="4A11C83C" w14:textId="7A5DBD17" w:rsidR="009722ED" w:rsidRDefault="000255E4" w:rsidP="00A50B82">
            <w:pPr>
              <w:rPr>
                <w:lang w:val="en-GB"/>
              </w:rPr>
            </w:pPr>
            <w:r w:rsidRPr="00DF5D58">
              <w:rPr>
                <w:lang w:val="en-US"/>
              </w:rPr>
              <w:t>ISO 15681-1:2005</w:t>
            </w:r>
          </w:p>
        </w:tc>
      </w:tr>
      <w:tr w:rsidR="009722ED" w14:paraId="43B380F6" w14:textId="77777777" w:rsidTr="005318FC">
        <w:tc>
          <w:tcPr>
            <w:tcW w:w="1413" w:type="dxa"/>
          </w:tcPr>
          <w:p w14:paraId="3226302C" w14:textId="77777777" w:rsidR="009722ED" w:rsidRDefault="009722ED" w:rsidP="00A50B82">
            <w:pPr>
              <w:rPr>
                <w:lang w:val="en-GB"/>
              </w:rPr>
            </w:pPr>
            <w:r>
              <w:rPr>
                <w:lang w:val="en-GB"/>
              </w:rPr>
              <w:t>TSS</w:t>
            </w:r>
          </w:p>
        </w:tc>
        <w:tc>
          <w:tcPr>
            <w:tcW w:w="2698" w:type="dxa"/>
          </w:tcPr>
          <w:p w14:paraId="7E12C5DF" w14:textId="77777777" w:rsidR="009722ED" w:rsidRDefault="009722ED" w:rsidP="00A50B82">
            <w:pPr>
              <w:rPr>
                <w:lang w:val="en-GB"/>
              </w:rPr>
            </w:pPr>
            <w:r>
              <w:rPr>
                <w:lang w:val="en-GB"/>
              </w:rPr>
              <w:t>Total suspended solids</w:t>
            </w:r>
          </w:p>
        </w:tc>
        <w:tc>
          <w:tcPr>
            <w:tcW w:w="2685" w:type="dxa"/>
          </w:tcPr>
          <w:p w14:paraId="313DFD90" w14:textId="4DEE2C29" w:rsidR="009722ED" w:rsidRDefault="007D36C6" w:rsidP="00A50B82">
            <w:pPr>
              <w:rPr>
                <w:lang w:val="en-GB"/>
              </w:rPr>
            </w:pPr>
            <w:r w:rsidRPr="003E16FB">
              <w:rPr>
                <w:lang w:val="en-US"/>
              </w:rPr>
              <w:t>European standard EN 872:2005</w:t>
            </w:r>
          </w:p>
        </w:tc>
        <w:tc>
          <w:tcPr>
            <w:tcW w:w="2266" w:type="dxa"/>
          </w:tcPr>
          <w:p w14:paraId="32355967" w14:textId="2A86BA2F" w:rsidR="009722ED" w:rsidRDefault="000154DF" w:rsidP="00A50B82">
            <w:pPr>
              <w:rPr>
                <w:lang w:val="en-GB"/>
              </w:rPr>
            </w:pPr>
            <w:r>
              <w:rPr>
                <w:lang w:val="en-GB"/>
              </w:rPr>
              <w:t>Not measured</w:t>
            </w:r>
          </w:p>
        </w:tc>
      </w:tr>
      <w:tr w:rsidR="009722ED" w14:paraId="3189BFB0" w14:textId="77777777" w:rsidTr="005318FC">
        <w:tc>
          <w:tcPr>
            <w:tcW w:w="1413" w:type="dxa"/>
          </w:tcPr>
          <w:p w14:paraId="58672E37" w14:textId="77777777" w:rsidR="009722ED" w:rsidRDefault="009722ED" w:rsidP="00A50B82">
            <w:pPr>
              <w:rPr>
                <w:lang w:val="en-GB"/>
              </w:rPr>
            </w:pPr>
            <w:r w:rsidRPr="00C208BB">
              <w:t>w0_(g)</w:t>
            </w:r>
          </w:p>
        </w:tc>
        <w:tc>
          <w:tcPr>
            <w:tcW w:w="2698" w:type="dxa"/>
          </w:tcPr>
          <w:p w14:paraId="0964CD73" w14:textId="77777777" w:rsidR="009722ED" w:rsidRDefault="009722ED" w:rsidP="00A50B82">
            <w:pPr>
              <w:rPr>
                <w:lang w:val="en-GB"/>
              </w:rPr>
            </w:pPr>
            <w:r>
              <w:rPr>
                <w:lang w:val="en-GB"/>
              </w:rPr>
              <w:t xml:space="preserve">Filter initial weight </w:t>
            </w:r>
          </w:p>
        </w:tc>
        <w:tc>
          <w:tcPr>
            <w:tcW w:w="2685" w:type="dxa"/>
          </w:tcPr>
          <w:p w14:paraId="7B2A639B" w14:textId="090B7A03" w:rsidR="009722ED" w:rsidRDefault="007D36C6" w:rsidP="00A50B82">
            <w:pPr>
              <w:rPr>
                <w:lang w:val="en-GB"/>
              </w:rPr>
            </w:pPr>
            <w:r>
              <w:rPr>
                <w:lang w:val="en-GB"/>
              </w:rPr>
              <w:t>-</w:t>
            </w:r>
          </w:p>
        </w:tc>
        <w:tc>
          <w:tcPr>
            <w:tcW w:w="2266" w:type="dxa"/>
          </w:tcPr>
          <w:p w14:paraId="243C1F4E" w14:textId="1854847B" w:rsidR="009722ED" w:rsidRDefault="007D36C6" w:rsidP="00A50B82">
            <w:pPr>
              <w:rPr>
                <w:lang w:val="en-GB"/>
              </w:rPr>
            </w:pPr>
            <w:r>
              <w:rPr>
                <w:lang w:val="en-GB"/>
              </w:rPr>
              <w:t>-</w:t>
            </w:r>
          </w:p>
        </w:tc>
      </w:tr>
      <w:tr w:rsidR="009722ED" w14:paraId="664AE881" w14:textId="77777777" w:rsidTr="005318FC">
        <w:tc>
          <w:tcPr>
            <w:tcW w:w="1413" w:type="dxa"/>
          </w:tcPr>
          <w:p w14:paraId="0C8BA04D" w14:textId="77777777" w:rsidR="009722ED" w:rsidRPr="00C208BB" w:rsidRDefault="009722ED" w:rsidP="00A50B82">
            <w:r w:rsidRPr="00C208BB">
              <w:t>w1_(g)</w:t>
            </w:r>
          </w:p>
        </w:tc>
        <w:tc>
          <w:tcPr>
            <w:tcW w:w="2698" w:type="dxa"/>
          </w:tcPr>
          <w:p w14:paraId="639169E2" w14:textId="77777777" w:rsidR="009722ED" w:rsidRPr="00C208BB" w:rsidRDefault="009722ED" w:rsidP="00A50B82">
            <w:r>
              <w:t>Filter weight after filtration</w:t>
            </w:r>
          </w:p>
        </w:tc>
        <w:tc>
          <w:tcPr>
            <w:tcW w:w="2685" w:type="dxa"/>
          </w:tcPr>
          <w:p w14:paraId="5C9800FB" w14:textId="7D6B2FC8" w:rsidR="009722ED" w:rsidRPr="00C208BB" w:rsidRDefault="007D36C6" w:rsidP="00A50B82">
            <w:r>
              <w:t>-</w:t>
            </w:r>
          </w:p>
        </w:tc>
        <w:tc>
          <w:tcPr>
            <w:tcW w:w="2266" w:type="dxa"/>
          </w:tcPr>
          <w:p w14:paraId="4E6A7D04" w14:textId="14150857" w:rsidR="009722ED" w:rsidRPr="00C208BB" w:rsidRDefault="007D36C6" w:rsidP="00A50B82">
            <w:r>
              <w:t>-</w:t>
            </w:r>
          </w:p>
        </w:tc>
      </w:tr>
      <w:tr w:rsidR="00612569" w:rsidRPr="0039508A" w14:paraId="57298FD8" w14:textId="77777777" w:rsidTr="005318FC">
        <w:tc>
          <w:tcPr>
            <w:tcW w:w="1413" w:type="dxa"/>
          </w:tcPr>
          <w:p w14:paraId="110DCC4F" w14:textId="5E5B565E" w:rsidR="00612569" w:rsidRPr="00C208BB" w:rsidRDefault="00612569" w:rsidP="00612569"/>
        </w:tc>
        <w:tc>
          <w:tcPr>
            <w:tcW w:w="2698" w:type="dxa"/>
          </w:tcPr>
          <w:p w14:paraId="5963A533" w14:textId="7899B8D5" w:rsidR="00612569" w:rsidRDefault="00612569" w:rsidP="00612569">
            <w:r w:rsidRPr="003E16FB">
              <w:rPr>
                <w:i/>
                <w:lang w:val="en-US"/>
              </w:rPr>
              <w:t>E. coli</w:t>
            </w:r>
          </w:p>
        </w:tc>
        <w:tc>
          <w:tcPr>
            <w:tcW w:w="2685" w:type="dxa"/>
          </w:tcPr>
          <w:p w14:paraId="5EC57FB3" w14:textId="66F4C30A" w:rsidR="00612569" w:rsidRPr="00B93B78" w:rsidRDefault="00261225" w:rsidP="00612569">
            <w:pPr>
              <w:rPr>
                <w:lang w:val="en-GB"/>
              </w:rPr>
            </w:pPr>
            <w:r w:rsidRPr="00603D0C">
              <w:rPr>
                <w:lang w:val="en-GB"/>
              </w:rPr>
              <w:t>SS EN-ISO 9308-2:2014</w:t>
            </w:r>
            <w:r w:rsidR="002372B3" w:rsidRPr="00603D0C">
              <w:rPr>
                <w:lang w:val="en-GB"/>
              </w:rPr>
              <w:t xml:space="preserve">. </w:t>
            </w:r>
            <w:r w:rsidR="002372B3" w:rsidRPr="00B93B78">
              <w:rPr>
                <w:lang w:val="en-GB"/>
              </w:rPr>
              <w:t xml:space="preserve">Results reported as </w:t>
            </w:r>
            <w:r w:rsidR="00B93B78" w:rsidRPr="00B93B78">
              <w:rPr>
                <w:lang w:val="en-GB"/>
              </w:rPr>
              <w:t xml:space="preserve">Most </w:t>
            </w:r>
            <w:r w:rsidR="00B93B78">
              <w:rPr>
                <w:lang w:val="en-GB"/>
              </w:rPr>
              <w:t>Probable Number (MPN) per 100 ml.</w:t>
            </w:r>
          </w:p>
        </w:tc>
        <w:tc>
          <w:tcPr>
            <w:tcW w:w="2266" w:type="dxa"/>
          </w:tcPr>
          <w:p w14:paraId="59C0DEA0" w14:textId="635BAF89" w:rsidR="00612569" w:rsidRPr="00B93B78" w:rsidRDefault="0035164A" w:rsidP="00612569">
            <w:pPr>
              <w:rPr>
                <w:lang w:val="en-GB"/>
              </w:rPr>
            </w:pPr>
            <w:r w:rsidRPr="00DF5D58">
              <w:rPr>
                <w:lang w:val="en-US"/>
              </w:rPr>
              <w:t>SFS 4088:2001 / ROI</w:t>
            </w:r>
            <w:r w:rsidR="00B93B78">
              <w:rPr>
                <w:lang w:val="en-US"/>
              </w:rPr>
              <w:t xml:space="preserve">. </w:t>
            </w:r>
            <w:r w:rsidR="00B93B78" w:rsidRPr="00B93B78">
              <w:rPr>
                <w:lang w:val="en-GB"/>
              </w:rPr>
              <w:t xml:space="preserve">Results reported as </w:t>
            </w:r>
            <w:r w:rsidR="00B93B78">
              <w:rPr>
                <w:lang w:val="en-GB"/>
              </w:rPr>
              <w:t>Colony Forming Units (CFU) per 100 ml.</w:t>
            </w:r>
          </w:p>
        </w:tc>
      </w:tr>
      <w:tr w:rsidR="00612569" w:rsidRPr="0039508A" w14:paraId="3DD6C83D" w14:textId="77777777" w:rsidTr="005318FC">
        <w:tc>
          <w:tcPr>
            <w:tcW w:w="1413" w:type="dxa"/>
          </w:tcPr>
          <w:p w14:paraId="2422DD1E" w14:textId="710D2CDC" w:rsidR="00612569" w:rsidRPr="00B93B78" w:rsidRDefault="00612569" w:rsidP="00612569">
            <w:pPr>
              <w:rPr>
                <w:lang w:val="en-GB"/>
              </w:rPr>
            </w:pPr>
          </w:p>
        </w:tc>
        <w:tc>
          <w:tcPr>
            <w:tcW w:w="2698" w:type="dxa"/>
          </w:tcPr>
          <w:p w14:paraId="6889888F" w14:textId="63CF9C53" w:rsidR="00612569" w:rsidRDefault="00DD2DE9" w:rsidP="00612569">
            <w:r>
              <w:rPr>
                <w:lang w:val="en-US"/>
              </w:rPr>
              <w:t>E</w:t>
            </w:r>
            <w:r w:rsidR="00612569" w:rsidRPr="003E16FB">
              <w:rPr>
                <w:lang w:val="en-US"/>
              </w:rPr>
              <w:t>nterococci</w:t>
            </w:r>
          </w:p>
        </w:tc>
        <w:tc>
          <w:tcPr>
            <w:tcW w:w="2685" w:type="dxa"/>
          </w:tcPr>
          <w:p w14:paraId="7F48CCC8" w14:textId="1AA6417D" w:rsidR="00612569" w:rsidRPr="00B93B78" w:rsidRDefault="00E86BF4" w:rsidP="00612569">
            <w:pPr>
              <w:rPr>
                <w:lang w:val="en-GB"/>
              </w:rPr>
            </w:pPr>
            <w:r w:rsidRPr="003E16FB">
              <w:rPr>
                <w:lang w:val="en-US"/>
              </w:rPr>
              <w:t>IDEXX Enterolert®</w:t>
            </w:r>
            <w:r w:rsidR="00B93B78">
              <w:rPr>
                <w:lang w:val="en-US"/>
              </w:rPr>
              <w:t xml:space="preserve"> </w:t>
            </w:r>
            <w:r w:rsidR="00B93B78" w:rsidRPr="00B93B78">
              <w:rPr>
                <w:lang w:val="en-GB"/>
              </w:rPr>
              <w:t xml:space="preserve">Results reported as Most </w:t>
            </w:r>
            <w:r w:rsidR="00B93B78">
              <w:rPr>
                <w:lang w:val="en-GB"/>
              </w:rPr>
              <w:t>Probable Number (MPN) per 100 ml.</w:t>
            </w:r>
          </w:p>
        </w:tc>
        <w:tc>
          <w:tcPr>
            <w:tcW w:w="2266" w:type="dxa"/>
          </w:tcPr>
          <w:p w14:paraId="26E51802" w14:textId="0361FC76" w:rsidR="00612569" w:rsidRPr="00B93B78" w:rsidRDefault="00203AAD" w:rsidP="00740072">
            <w:pPr>
              <w:keepNext/>
              <w:rPr>
                <w:lang w:val="en-GB"/>
              </w:rPr>
            </w:pPr>
            <w:r w:rsidRPr="00DF5D58">
              <w:rPr>
                <w:lang w:val="en-US"/>
              </w:rPr>
              <w:t>SFS-EN ISO 7899-2:2000</w:t>
            </w:r>
            <w:r w:rsidR="00B93B78">
              <w:rPr>
                <w:lang w:val="en-US"/>
              </w:rPr>
              <w:t xml:space="preserve">. </w:t>
            </w:r>
            <w:r w:rsidR="00B93B78" w:rsidRPr="00B93B78">
              <w:rPr>
                <w:lang w:val="en-GB"/>
              </w:rPr>
              <w:t xml:space="preserve">Results reported as </w:t>
            </w:r>
            <w:r w:rsidR="00B93B78">
              <w:rPr>
                <w:lang w:val="en-GB"/>
              </w:rPr>
              <w:t>Colony Forming Units (CFU) per 100 ml.</w:t>
            </w:r>
          </w:p>
        </w:tc>
      </w:tr>
    </w:tbl>
    <w:p w14:paraId="2BA531F9" w14:textId="0212E151" w:rsidR="00740072" w:rsidRDefault="004F0238" w:rsidP="00783246">
      <w:pPr>
        <w:rPr>
          <w:lang w:val="en-GB"/>
        </w:rPr>
      </w:pPr>
      <w:r>
        <w:rPr>
          <w:b/>
          <w:bCs/>
          <w:vertAlign w:val="superscript"/>
          <w:lang w:val="en-GB"/>
        </w:rPr>
        <w:t>1</w:t>
      </w:r>
      <w:r>
        <w:rPr>
          <w:b/>
          <w:bCs/>
          <w:lang w:val="en-GB"/>
        </w:rPr>
        <w:t xml:space="preserve"> </w:t>
      </w:r>
      <w:r>
        <w:rPr>
          <w:lang w:val="en-GB"/>
        </w:rPr>
        <w:t xml:space="preserve">The facilities sampled in Sweden were ASC, ASF1-3, </w:t>
      </w:r>
      <w:r w:rsidR="00422E5A">
        <w:rPr>
          <w:lang w:val="en-GB"/>
        </w:rPr>
        <w:t>SBR1-2 and TF.</w:t>
      </w:r>
    </w:p>
    <w:p w14:paraId="2EBA2063" w14:textId="5A0D7FAE" w:rsidR="00422E5A" w:rsidRDefault="00422E5A" w:rsidP="00422E5A">
      <w:pPr>
        <w:rPr>
          <w:lang w:val="en-GB"/>
        </w:rPr>
      </w:pPr>
      <w:r>
        <w:rPr>
          <w:b/>
          <w:bCs/>
          <w:vertAlign w:val="superscript"/>
          <w:lang w:val="en-GB"/>
        </w:rPr>
        <w:t>2</w:t>
      </w:r>
      <w:r>
        <w:rPr>
          <w:b/>
          <w:bCs/>
          <w:lang w:val="en-GB"/>
        </w:rPr>
        <w:t xml:space="preserve"> </w:t>
      </w:r>
      <w:r>
        <w:rPr>
          <w:lang w:val="en-GB"/>
        </w:rPr>
        <w:t>The facilities sampled in Finland were RBC and SBR</w:t>
      </w:r>
      <w:r w:rsidR="00011F6B">
        <w:rPr>
          <w:lang w:val="en-GB"/>
        </w:rPr>
        <w:t>3-5</w:t>
      </w:r>
      <w:r>
        <w:rPr>
          <w:lang w:val="en-GB"/>
        </w:rPr>
        <w:t>.</w:t>
      </w:r>
    </w:p>
    <w:p w14:paraId="295A8870" w14:textId="4046F194" w:rsidR="00422E5A" w:rsidRDefault="00422E5A" w:rsidP="00783246">
      <w:pPr>
        <w:rPr>
          <w:lang w:val="en-GB"/>
        </w:rPr>
      </w:pPr>
    </w:p>
    <w:p w14:paraId="7CAE8F22" w14:textId="4FB5F96C" w:rsidR="00DA1797" w:rsidRDefault="00DA1797" w:rsidP="00783246">
      <w:pPr>
        <w:rPr>
          <w:lang w:val="en-GB"/>
        </w:rPr>
      </w:pPr>
    </w:p>
    <w:p w14:paraId="412ACEBE" w14:textId="5237397C" w:rsidR="004E384B" w:rsidRPr="00783246" w:rsidRDefault="004E384B" w:rsidP="00783246">
      <w:pPr>
        <w:rPr>
          <w:b/>
          <w:bCs/>
          <w:lang w:val="en-GB"/>
        </w:rPr>
      </w:pPr>
      <w:r w:rsidRPr="00783246">
        <w:rPr>
          <w:b/>
          <w:bCs/>
          <w:lang w:val="en-GB"/>
        </w:rPr>
        <w:t xml:space="preserve">Micropollutant </w:t>
      </w:r>
      <w:r w:rsidR="0007127E">
        <w:rPr>
          <w:b/>
          <w:bCs/>
          <w:lang w:val="en-GB"/>
        </w:rPr>
        <w:t xml:space="preserve">sampling and </w:t>
      </w:r>
      <w:r w:rsidRPr="00783246">
        <w:rPr>
          <w:b/>
          <w:bCs/>
          <w:lang w:val="en-GB"/>
        </w:rPr>
        <w:t>analyses</w:t>
      </w:r>
    </w:p>
    <w:p w14:paraId="6875BD82" w14:textId="77777777" w:rsidR="005834A3" w:rsidRDefault="004E384B" w:rsidP="004E384B">
      <w:pPr>
        <w:pStyle w:val="NormalWeb"/>
        <w:spacing w:after="240" w:afterAutospacing="0"/>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Grab s</w:t>
      </w:r>
      <w:r w:rsidRPr="00307873">
        <w:rPr>
          <w:rFonts w:asciiTheme="minorHAnsi" w:eastAsiaTheme="minorHAnsi" w:hAnsiTheme="minorHAnsi" w:cstheme="minorBidi"/>
          <w:sz w:val="22"/>
          <w:szCs w:val="22"/>
          <w:lang w:val="en-US" w:eastAsia="en-US"/>
        </w:rPr>
        <w:t>amples of the influent and effluent of two facilities (ASC and TF) and blank samples of the sampling equipment (using tap</w:t>
      </w:r>
      <w:r>
        <w:rPr>
          <w:rFonts w:asciiTheme="minorHAnsi" w:eastAsiaTheme="minorHAnsi" w:hAnsiTheme="minorHAnsi" w:cstheme="minorBidi"/>
          <w:sz w:val="22"/>
          <w:szCs w:val="22"/>
          <w:lang w:val="en-US" w:eastAsia="en-US"/>
        </w:rPr>
        <w:t xml:space="preserve"> </w:t>
      </w:r>
      <w:r w:rsidRPr="00307873">
        <w:rPr>
          <w:rFonts w:asciiTheme="minorHAnsi" w:eastAsiaTheme="minorHAnsi" w:hAnsiTheme="minorHAnsi" w:cstheme="minorBidi"/>
          <w:sz w:val="22"/>
          <w:szCs w:val="22"/>
          <w:lang w:val="en-US" w:eastAsia="en-US"/>
        </w:rPr>
        <w:t xml:space="preserve">water) were collected on three occasions (March, June and </w:t>
      </w:r>
      <w:r w:rsidRPr="009067CE">
        <w:rPr>
          <w:rFonts w:asciiTheme="minorHAnsi" w:eastAsiaTheme="minorHAnsi" w:hAnsiTheme="minorHAnsi" w:cstheme="minorBidi"/>
          <w:sz w:val="22"/>
          <w:szCs w:val="22"/>
          <w:lang w:val="en-US" w:eastAsia="en-US"/>
        </w:rPr>
        <w:t>August 2021)</w:t>
      </w:r>
      <w:r w:rsidRPr="00307873">
        <w:rPr>
          <w:rFonts w:asciiTheme="minorHAnsi" w:eastAsiaTheme="minorHAnsi" w:hAnsiTheme="minorHAnsi" w:cstheme="minorBidi"/>
          <w:sz w:val="22"/>
          <w:szCs w:val="22"/>
          <w:lang w:val="en-US" w:eastAsia="en-US"/>
        </w:rPr>
        <w:t xml:space="preserve"> for micropollutant analyses, using a stainless-steel sampler, then stored in glass jars before analysis. The investigated micropollutants included 19 pharmaceuticals (Table 2), an artificial sweetener (acesulfame K), caffeine and 15 phthalate: Bis(2-ethylhexyl) phthalate (DEHP), Bis(4-methyl-2-pentyl) phthalate (BMPP), Benzyl butyl phthalate (BBP), Bis(2-ethylhexyl) terephthalate (DEHT), Dibutyl phthalate (DBP), Diethyl phthalate (DEP), Di-n-hexyl phthalate (DHP), Diisobutyl phthalate (DIBP), Diisononyl phthalate (DINP), Diisopentyl phthalate (DISP), Dimethyl phthalate (DMP), Dioctyl phthalate (DNOP), Dipentyl phthalate (DPP), Dicyclyhexyl phthalate (DCHP) and Hexyl-2-ethylhexyl phthalate (HEHP).</w:t>
      </w:r>
      <w:r>
        <w:rPr>
          <w:rFonts w:asciiTheme="minorHAnsi" w:eastAsiaTheme="minorHAnsi" w:hAnsiTheme="minorHAnsi" w:cstheme="minorBidi"/>
          <w:sz w:val="22"/>
          <w:szCs w:val="22"/>
          <w:lang w:val="en-US" w:eastAsia="en-US"/>
        </w:rPr>
        <w:t xml:space="preserve"> </w:t>
      </w:r>
    </w:p>
    <w:p w14:paraId="45AFCB3B" w14:textId="4E67BA38" w:rsidR="005834A3" w:rsidRDefault="005834A3" w:rsidP="00F117F9">
      <w:pPr>
        <w:pStyle w:val="Caption"/>
        <w:keepNext/>
        <w:spacing w:after="240"/>
        <w:jc w:val="both"/>
        <w:rPr>
          <w:i w:val="0"/>
          <w:iCs w:val="0"/>
          <w:color w:val="auto"/>
          <w:sz w:val="22"/>
          <w:szCs w:val="22"/>
          <w:lang w:val="en-US"/>
        </w:rPr>
      </w:pPr>
      <w:r w:rsidRPr="005834A3">
        <w:rPr>
          <w:i w:val="0"/>
          <w:iCs w:val="0"/>
          <w:color w:val="auto"/>
          <w:sz w:val="22"/>
          <w:szCs w:val="22"/>
          <w:lang w:val="en-US"/>
        </w:rPr>
        <w:t xml:space="preserve">The samples were extracted with liquid-liquid extraction (for phthalates) and solid-phase extraction (pharmaceuticals, sweetener and caffeine) and were not pre-filtered. The samples were concentrated and analysed directly after the extraction with LC-MS/MS for pharmaceuticals, sweetener and caffeine and with GC-MS/MS for phthalates. Method and field blanks were used to evaluate potential background levels of target phthalate compounds. Quality control was performed in the laboratory, and included spiked control samples, at least one procedural blank per sample set and internal standards. The recoveries of the spiked controls were used to ensure the method’s performance, by assuring that the known target value(s) had been met. Procedural blanks were taken to ensure that there was no background contamination from the laboratory (vessels, instruments, chemicals, lab air, etc.). For phthalates, three procedural blanks per sample set were used to evaluate the background. The phthalate procedural blanks were subtracted from the sample results. The internal standards included the addition of mass labelled internal standards to the samples before the extraction to account for the losses of analytes during the pretreatment and matrix suppression in the instrumental </w:t>
      </w:r>
      <w:r w:rsidRPr="005834A3">
        <w:rPr>
          <w:i w:val="0"/>
          <w:iCs w:val="0"/>
          <w:color w:val="auto"/>
          <w:sz w:val="22"/>
          <w:szCs w:val="22"/>
          <w:lang w:val="en-US"/>
        </w:rPr>
        <w:lastRenderedPageBreak/>
        <w:t>analysis (LC-MS/MS or GC-MS/MS). The recovery rates of the internal standards were used to verify that the sample pretreatment and analysis procedure worked as it should</w:t>
      </w:r>
      <w:r>
        <w:rPr>
          <w:i w:val="0"/>
          <w:iCs w:val="0"/>
          <w:color w:val="auto"/>
          <w:sz w:val="22"/>
          <w:szCs w:val="22"/>
          <w:lang w:val="en-US"/>
        </w:rPr>
        <w:t>.</w:t>
      </w:r>
    </w:p>
    <w:p w14:paraId="2190E32B" w14:textId="3A9A989C" w:rsidR="005834A3" w:rsidRDefault="005834A3" w:rsidP="004E384B">
      <w:pPr>
        <w:pStyle w:val="Caption"/>
        <w:keepNext/>
        <w:spacing w:after="240"/>
        <w:rPr>
          <w:b/>
          <w:i w:val="0"/>
          <w:color w:val="auto"/>
          <w:sz w:val="20"/>
          <w:lang w:val="en-GB"/>
        </w:rPr>
      </w:pPr>
    </w:p>
    <w:p w14:paraId="57DD6758" w14:textId="77777777" w:rsidR="00DA1797" w:rsidRPr="00DA1797" w:rsidRDefault="00DA1797" w:rsidP="00DA1797">
      <w:pPr>
        <w:rPr>
          <w:lang w:val="en-GB"/>
        </w:rPr>
      </w:pPr>
    </w:p>
    <w:p w14:paraId="10A17F63" w14:textId="04148076" w:rsidR="004E384B" w:rsidRDefault="004E384B" w:rsidP="004E384B">
      <w:pPr>
        <w:pStyle w:val="Caption"/>
        <w:keepNext/>
        <w:spacing w:after="240"/>
        <w:rPr>
          <w:i w:val="0"/>
          <w:color w:val="auto"/>
          <w:sz w:val="20"/>
          <w:lang w:val="en-GB"/>
        </w:rPr>
      </w:pPr>
      <w:r w:rsidRPr="003A465B">
        <w:rPr>
          <w:b/>
          <w:i w:val="0"/>
          <w:color w:val="auto"/>
          <w:sz w:val="20"/>
          <w:lang w:val="en-GB"/>
        </w:rPr>
        <w:t>Table 2</w:t>
      </w:r>
      <w:r w:rsidRPr="003A465B">
        <w:rPr>
          <w:i w:val="0"/>
          <w:color w:val="auto"/>
          <w:sz w:val="20"/>
          <w:lang w:val="en-GB"/>
        </w:rPr>
        <w:t xml:space="preserve"> </w:t>
      </w:r>
      <w:r>
        <w:rPr>
          <w:i w:val="0"/>
          <w:color w:val="auto"/>
          <w:sz w:val="20"/>
          <w:lang w:val="en-GB"/>
        </w:rPr>
        <w:t>Analyzed</w:t>
      </w:r>
      <w:r w:rsidRPr="003A465B">
        <w:rPr>
          <w:i w:val="0"/>
          <w:color w:val="auto"/>
          <w:sz w:val="20"/>
          <w:lang w:val="en-GB"/>
        </w:rPr>
        <w:t xml:space="preserve"> pharmaceuticals in the influent and effluent of two package plants (ASC and TF).</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3843"/>
      </w:tblGrid>
      <w:tr w:rsidR="004E384B" w:rsidRPr="005D4613" w14:paraId="6229EC82" w14:textId="77777777" w:rsidTr="00A50B82">
        <w:trPr>
          <w:trHeight w:val="283"/>
        </w:trPr>
        <w:tc>
          <w:tcPr>
            <w:tcW w:w="3843" w:type="dxa"/>
            <w:tcBorders>
              <w:top w:val="single" w:sz="4" w:space="0" w:color="auto"/>
              <w:bottom w:val="single" w:sz="4" w:space="0" w:color="auto"/>
            </w:tcBorders>
          </w:tcPr>
          <w:p w14:paraId="1EA0BB94" w14:textId="77777777" w:rsidR="004E384B" w:rsidRPr="005D4613" w:rsidRDefault="004E384B" w:rsidP="00A50B82">
            <w:pPr>
              <w:rPr>
                <w:b/>
              </w:rPr>
            </w:pPr>
            <w:r w:rsidRPr="005D4613">
              <w:rPr>
                <w:b/>
              </w:rPr>
              <w:t xml:space="preserve">Compound </w:t>
            </w:r>
          </w:p>
        </w:tc>
        <w:tc>
          <w:tcPr>
            <w:tcW w:w="3843" w:type="dxa"/>
            <w:tcBorders>
              <w:top w:val="single" w:sz="4" w:space="0" w:color="auto"/>
              <w:bottom w:val="single" w:sz="4" w:space="0" w:color="auto"/>
            </w:tcBorders>
          </w:tcPr>
          <w:p w14:paraId="1748E29A" w14:textId="77777777" w:rsidR="004E384B" w:rsidRPr="005D4613" w:rsidRDefault="004E384B" w:rsidP="00A50B82">
            <w:pPr>
              <w:rPr>
                <w:b/>
              </w:rPr>
            </w:pPr>
            <w:r w:rsidRPr="005D4613">
              <w:rPr>
                <w:b/>
              </w:rPr>
              <w:t>Characterization/uses</w:t>
            </w:r>
          </w:p>
        </w:tc>
      </w:tr>
      <w:tr w:rsidR="004E384B" w:rsidRPr="005D4613" w14:paraId="3D3D60CB" w14:textId="77777777" w:rsidTr="00A50B82">
        <w:trPr>
          <w:trHeight w:val="283"/>
        </w:trPr>
        <w:tc>
          <w:tcPr>
            <w:tcW w:w="3843" w:type="dxa"/>
            <w:tcBorders>
              <w:top w:val="single" w:sz="4" w:space="0" w:color="auto"/>
            </w:tcBorders>
            <w:vAlign w:val="center"/>
          </w:tcPr>
          <w:p w14:paraId="7D632AC3" w14:textId="77777777" w:rsidR="004E384B" w:rsidRPr="005D4613" w:rsidRDefault="004E384B" w:rsidP="00A50B82">
            <w:r w:rsidRPr="005D4613">
              <w:t>Diclofenac</w:t>
            </w:r>
          </w:p>
        </w:tc>
        <w:tc>
          <w:tcPr>
            <w:tcW w:w="3843" w:type="dxa"/>
            <w:tcBorders>
              <w:top w:val="single" w:sz="4" w:space="0" w:color="auto"/>
            </w:tcBorders>
          </w:tcPr>
          <w:p w14:paraId="606C7E7D" w14:textId="77777777" w:rsidR="004E384B" w:rsidRPr="005D4613" w:rsidRDefault="004E384B" w:rsidP="00A50B82">
            <w:r w:rsidRPr="005D4613">
              <w:t>Analgesic and anti-inflammatory</w:t>
            </w:r>
          </w:p>
        </w:tc>
      </w:tr>
      <w:tr w:rsidR="004E384B" w:rsidRPr="005D4613" w14:paraId="217932EF" w14:textId="77777777" w:rsidTr="00A50B82">
        <w:trPr>
          <w:trHeight w:val="283"/>
        </w:trPr>
        <w:tc>
          <w:tcPr>
            <w:tcW w:w="3843" w:type="dxa"/>
            <w:vAlign w:val="center"/>
          </w:tcPr>
          <w:p w14:paraId="76B72E59" w14:textId="77777777" w:rsidR="004E384B" w:rsidRPr="005D4613" w:rsidRDefault="004E384B" w:rsidP="00A50B82">
            <w:r w:rsidRPr="005D4613">
              <w:t>Ibuprofen</w:t>
            </w:r>
          </w:p>
        </w:tc>
        <w:tc>
          <w:tcPr>
            <w:tcW w:w="3843" w:type="dxa"/>
          </w:tcPr>
          <w:p w14:paraId="6C7A0E08" w14:textId="77777777" w:rsidR="004E384B" w:rsidRPr="005D4613" w:rsidRDefault="004E384B" w:rsidP="00A50B82">
            <w:r w:rsidRPr="005D4613">
              <w:t>Analgesic and anti-inflammatory</w:t>
            </w:r>
          </w:p>
        </w:tc>
      </w:tr>
      <w:tr w:rsidR="004E384B" w:rsidRPr="005D4613" w14:paraId="6EC73704" w14:textId="77777777" w:rsidTr="00A50B82">
        <w:trPr>
          <w:trHeight w:val="283"/>
        </w:trPr>
        <w:tc>
          <w:tcPr>
            <w:tcW w:w="3843" w:type="dxa"/>
            <w:vAlign w:val="bottom"/>
          </w:tcPr>
          <w:p w14:paraId="41A3AF33" w14:textId="77777777" w:rsidR="004E384B" w:rsidRPr="005D4613" w:rsidRDefault="004E384B" w:rsidP="00A50B82">
            <w:r w:rsidRPr="005D4613">
              <w:t>Bisoprolol</w:t>
            </w:r>
          </w:p>
        </w:tc>
        <w:tc>
          <w:tcPr>
            <w:tcW w:w="3843" w:type="dxa"/>
          </w:tcPr>
          <w:p w14:paraId="3F851018" w14:textId="77777777" w:rsidR="004E384B" w:rsidRPr="005D4613" w:rsidRDefault="004E384B" w:rsidP="00A50B82">
            <w:r w:rsidRPr="005D4613">
              <w:t xml:space="preserve">β-blocking agents </w:t>
            </w:r>
          </w:p>
        </w:tc>
      </w:tr>
      <w:tr w:rsidR="004E384B" w:rsidRPr="005D4613" w14:paraId="4006013E" w14:textId="77777777" w:rsidTr="00A50B82">
        <w:trPr>
          <w:trHeight w:val="283"/>
        </w:trPr>
        <w:tc>
          <w:tcPr>
            <w:tcW w:w="3843" w:type="dxa"/>
            <w:vAlign w:val="bottom"/>
          </w:tcPr>
          <w:p w14:paraId="6B968D89" w14:textId="77777777" w:rsidR="004E384B" w:rsidRPr="005D4613" w:rsidRDefault="004E384B" w:rsidP="00A50B82">
            <w:r w:rsidRPr="005D4613">
              <w:t>Candesartan</w:t>
            </w:r>
          </w:p>
        </w:tc>
        <w:tc>
          <w:tcPr>
            <w:tcW w:w="3843" w:type="dxa"/>
          </w:tcPr>
          <w:p w14:paraId="09C0AEFE" w14:textId="77777777" w:rsidR="004E384B" w:rsidRPr="005D4613" w:rsidRDefault="004E384B" w:rsidP="00A50B82">
            <w:r w:rsidRPr="005D4613">
              <w:t>ACE inhibitor</w:t>
            </w:r>
          </w:p>
        </w:tc>
      </w:tr>
      <w:tr w:rsidR="004E384B" w:rsidRPr="005D4613" w14:paraId="647870A0" w14:textId="77777777" w:rsidTr="00A50B82">
        <w:trPr>
          <w:trHeight w:val="283"/>
        </w:trPr>
        <w:tc>
          <w:tcPr>
            <w:tcW w:w="3843" w:type="dxa"/>
            <w:vAlign w:val="bottom"/>
          </w:tcPr>
          <w:p w14:paraId="416A7F7D" w14:textId="77777777" w:rsidR="004E384B" w:rsidRPr="005D4613" w:rsidRDefault="004E384B" w:rsidP="00A50B82">
            <w:r w:rsidRPr="005D4613">
              <w:t>Clarithromycin</w:t>
            </w:r>
          </w:p>
        </w:tc>
        <w:tc>
          <w:tcPr>
            <w:tcW w:w="3843" w:type="dxa"/>
          </w:tcPr>
          <w:p w14:paraId="2DA9C1B1" w14:textId="77777777" w:rsidR="004E384B" w:rsidRPr="005D4613" w:rsidRDefault="004E384B" w:rsidP="00A50B82">
            <w:r w:rsidRPr="005D4613">
              <w:t>Antibiotic</w:t>
            </w:r>
          </w:p>
        </w:tc>
      </w:tr>
      <w:tr w:rsidR="004E384B" w:rsidRPr="005D4613" w14:paraId="1C2F7B98" w14:textId="77777777" w:rsidTr="00A50B82">
        <w:trPr>
          <w:trHeight w:val="283"/>
        </w:trPr>
        <w:tc>
          <w:tcPr>
            <w:tcW w:w="3843" w:type="dxa"/>
            <w:vAlign w:val="bottom"/>
          </w:tcPr>
          <w:p w14:paraId="7B859558" w14:textId="77777777" w:rsidR="004E384B" w:rsidRPr="005D4613" w:rsidRDefault="004E384B" w:rsidP="00A50B82">
            <w:r w:rsidRPr="005D4613">
              <w:t xml:space="preserve">Enalapril </w:t>
            </w:r>
          </w:p>
        </w:tc>
        <w:tc>
          <w:tcPr>
            <w:tcW w:w="3843" w:type="dxa"/>
          </w:tcPr>
          <w:p w14:paraId="4EBF4E66" w14:textId="77777777" w:rsidR="004E384B" w:rsidRPr="005D4613" w:rsidRDefault="004E384B" w:rsidP="00A50B82">
            <w:r w:rsidRPr="005D4613">
              <w:t>ACE inhibitor</w:t>
            </w:r>
          </w:p>
        </w:tc>
      </w:tr>
      <w:tr w:rsidR="004E384B" w:rsidRPr="005D4613" w14:paraId="5107C75F" w14:textId="77777777" w:rsidTr="00A50B82">
        <w:trPr>
          <w:trHeight w:val="283"/>
        </w:trPr>
        <w:tc>
          <w:tcPr>
            <w:tcW w:w="3843" w:type="dxa"/>
            <w:vAlign w:val="bottom"/>
          </w:tcPr>
          <w:p w14:paraId="64A53635" w14:textId="77777777" w:rsidR="004E384B" w:rsidRPr="005D4613" w:rsidRDefault="004E384B" w:rsidP="00A50B82">
            <w:r w:rsidRPr="005D4613">
              <w:t xml:space="preserve">Eprosartan </w:t>
            </w:r>
          </w:p>
        </w:tc>
        <w:tc>
          <w:tcPr>
            <w:tcW w:w="3843" w:type="dxa"/>
          </w:tcPr>
          <w:p w14:paraId="311D6DBD" w14:textId="77777777" w:rsidR="004E384B" w:rsidRPr="005D4613" w:rsidRDefault="004E384B" w:rsidP="00A50B82">
            <w:r w:rsidRPr="005D4613">
              <w:t>ACE inhibitor</w:t>
            </w:r>
          </w:p>
        </w:tc>
      </w:tr>
      <w:tr w:rsidR="004E384B" w:rsidRPr="005D4613" w14:paraId="1893EC2C" w14:textId="77777777" w:rsidTr="00A50B82">
        <w:trPr>
          <w:trHeight w:val="283"/>
        </w:trPr>
        <w:tc>
          <w:tcPr>
            <w:tcW w:w="3843" w:type="dxa"/>
            <w:vAlign w:val="bottom"/>
          </w:tcPr>
          <w:p w14:paraId="32786DF1" w14:textId="77777777" w:rsidR="004E384B" w:rsidRPr="005D4613" w:rsidRDefault="004E384B" w:rsidP="00A50B82">
            <w:r w:rsidRPr="005D4613">
              <w:t>Fenbendazole</w:t>
            </w:r>
          </w:p>
        </w:tc>
        <w:tc>
          <w:tcPr>
            <w:tcW w:w="3843" w:type="dxa"/>
          </w:tcPr>
          <w:p w14:paraId="511E75A4" w14:textId="77777777" w:rsidR="004E384B" w:rsidRPr="005D4613" w:rsidRDefault="004E384B" w:rsidP="00A50B82">
            <w:r w:rsidRPr="005D4613">
              <w:t>Antiparasitic drug</w:t>
            </w:r>
          </w:p>
        </w:tc>
      </w:tr>
      <w:tr w:rsidR="004E384B" w:rsidRPr="005D4613" w14:paraId="069415B0" w14:textId="77777777" w:rsidTr="00A50B82">
        <w:trPr>
          <w:trHeight w:val="283"/>
        </w:trPr>
        <w:tc>
          <w:tcPr>
            <w:tcW w:w="3843" w:type="dxa"/>
            <w:vAlign w:val="bottom"/>
          </w:tcPr>
          <w:p w14:paraId="7DD8146B" w14:textId="77777777" w:rsidR="004E384B" w:rsidRPr="005D4613" w:rsidRDefault="004E384B" w:rsidP="00A50B82">
            <w:r w:rsidRPr="005D4613">
              <w:t>Fluconazole</w:t>
            </w:r>
          </w:p>
        </w:tc>
        <w:tc>
          <w:tcPr>
            <w:tcW w:w="3843" w:type="dxa"/>
          </w:tcPr>
          <w:p w14:paraId="6594552A" w14:textId="77777777" w:rsidR="004E384B" w:rsidRPr="005D4613" w:rsidRDefault="004E384B" w:rsidP="00A50B82">
            <w:r w:rsidRPr="005D4613">
              <w:t>Antifungal medication</w:t>
            </w:r>
          </w:p>
        </w:tc>
      </w:tr>
      <w:tr w:rsidR="004E384B" w:rsidRPr="005D4613" w14:paraId="7C710C56" w14:textId="77777777" w:rsidTr="00A50B82">
        <w:trPr>
          <w:trHeight w:val="283"/>
        </w:trPr>
        <w:tc>
          <w:tcPr>
            <w:tcW w:w="3843" w:type="dxa"/>
            <w:vAlign w:val="bottom"/>
          </w:tcPr>
          <w:p w14:paraId="7A10A3DA" w14:textId="77777777" w:rsidR="004E384B" w:rsidRPr="005D4613" w:rsidRDefault="004E384B" w:rsidP="00A50B82">
            <w:r w:rsidRPr="005D4613">
              <w:t>Gabapentin</w:t>
            </w:r>
          </w:p>
        </w:tc>
        <w:tc>
          <w:tcPr>
            <w:tcW w:w="3843" w:type="dxa"/>
          </w:tcPr>
          <w:p w14:paraId="6B6AD4C2" w14:textId="77777777" w:rsidR="004E384B" w:rsidRPr="005D4613" w:rsidRDefault="004E384B" w:rsidP="00A50B82">
            <w:r w:rsidRPr="005D4613">
              <w:t xml:space="preserve">Anticonvulsant </w:t>
            </w:r>
          </w:p>
        </w:tc>
      </w:tr>
      <w:tr w:rsidR="004E384B" w:rsidRPr="005D4613" w14:paraId="1EAAAAC8" w14:textId="77777777" w:rsidTr="00A50B82">
        <w:trPr>
          <w:trHeight w:val="283"/>
        </w:trPr>
        <w:tc>
          <w:tcPr>
            <w:tcW w:w="3843" w:type="dxa"/>
            <w:vAlign w:val="bottom"/>
          </w:tcPr>
          <w:p w14:paraId="17F334CF" w14:textId="77777777" w:rsidR="004E384B" w:rsidRPr="005D4613" w:rsidRDefault="004E384B" w:rsidP="00A50B82">
            <w:r w:rsidRPr="005D4613">
              <w:t>Ketoprofen</w:t>
            </w:r>
          </w:p>
        </w:tc>
        <w:tc>
          <w:tcPr>
            <w:tcW w:w="3843" w:type="dxa"/>
          </w:tcPr>
          <w:p w14:paraId="683D9C86" w14:textId="77777777" w:rsidR="004E384B" w:rsidRPr="005D4613" w:rsidRDefault="004E384B" w:rsidP="00A50B82">
            <w:r w:rsidRPr="005D4613">
              <w:t>Analgesic and anti-inflammatory</w:t>
            </w:r>
          </w:p>
        </w:tc>
      </w:tr>
      <w:tr w:rsidR="004E384B" w:rsidRPr="005D4613" w14:paraId="1B892433" w14:textId="77777777" w:rsidTr="00A50B82">
        <w:trPr>
          <w:trHeight w:val="283"/>
        </w:trPr>
        <w:tc>
          <w:tcPr>
            <w:tcW w:w="3843" w:type="dxa"/>
            <w:vAlign w:val="bottom"/>
          </w:tcPr>
          <w:p w14:paraId="146675ED" w14:textId="77777777" w:rsidR="004E384B" w:rsidRPr="005D4613" w:rsidRDefault="004E384B" w:rsidP="00A50B82">
            <w:r w:rsidRPr="005D4613">
              <w:t>Levetiracetam</w:t>
            </w:r>
          </w:p>
        </w:tc>
        <w:tc>
          <w:tcPr>
            <w:tcW w:w="3843" w:type="dxa"/>
          </w:tcPr>
          <w:p w14:paraId="39C6D293" w14:textId="77777777" w:rsidR="004E384B" w:rsidRPr="005D4613" w:rsidRDefault="004E384B" w:rsidP="00A50B82">
            <w:r w:rsidRPr="005D4613">
              <w:t xml:space="preserve">Anticonvulsant </w:t>
            </w:r>
          </w:p>
        </w:tc>
      </w:tr>
      <w:tr w:rsidR="004E384B" w:rsidRPr="005D4613" w14:paraId="5FB810D3" w14:textId="77777777" w:rsidTr="00A50B82">
        <w:trPr>
          <w:trHeight w:val="283"/>
        </w:trPr>
        <w:tc>
          <w:tcPr>
            <w:tcW w:w="3843" w:type="dxa"/>
            <w:vAlign w:val="bottom"/>
          </w:tcPr>
          <w:p w14:paraId="773E8759" w14:textId="77777777" w:rsidR="004E384B" w:rsidRPr="005D4613" w:rsidRDefault="004E384B" w:rsidP="00A50B82">
            <w:r w:rsidRPr="005D4613">
              <w:t>Metoprolol</w:t>
            </w:r>
          </w:p>
        </w:tc>
        <w:tc>
          <w:tcPr>
            <w:tcW w:w="3843" w:type="dxa"/>
          </w:tcPr>
          <w:p w14:paraId="34DB64D5" w14:textId="77777777" w:rsidR="004E384B" w:rsidRPr="005D4613" w:rsidRDefault="004E384B" w:rsidP="00A50B82">
            <w:r w:rsidRPr="005D4613">
              <w:t>β-blocking agents</w:t>
            </w:r>
          </w:p>
        </w:tc>
      </w:tr>
      <w:tr w:rsidR="004E384B" w:rsidRPr="005D4613" w14:paraId="003E62FD" w14:textId="77777777" w:rsidTr="00A50B82">
        <w:trPr>
          <w:trHeight w:val="283"/>
        </w:trPr>
        <w:tc>
          <w:tcPr>
            <w:tcW w:w="3843" w:type="dxa"/>
            <w:vAlign w:val="bottom"/>
          </w:tcPr>
          <w:p w14:paraId="336A5980" w14:textId="77777777" w:rsidR="004E384B" w:rsidRPr="005D4613" w:rsidRDefault="004E384B" w:rsidP="00A50B82">
            <w:r w:rsidRPr="005D4613">
              <w:t>Primidone</w:t>
            </w:r>
          </w:p>
        </w:tc>
        <w:tc>
          <w:tcPr>
            <w:tcW w:w="3843" w:type="dxa"/>
          </w:tcPr>
          <w:p w14:paraId="11F85E17" w14:textId="77777777" w:rsidR="004E384B" w:rsidRPr="005D4613" w:rsidRDefault="004E384B" w:rsidP="00A50B82">
            <w:r w:rsidRPr="005D4613">
              <w:t>Anticonvulsant</w:t>
            </w:r>
          </w:p>
        </w:tc>
      </w:tr>
      <w:tr w:rsidR="004E384B" w:rsidRPr="005D4613" w14:paraId="7A4EFBCC" w14:textId="77777777" w:rsidTr="00A50B82">
        <w:trPr>
          <w:trHeight w:val="283"/>
        </w:trPr>
        <w:tc>
          <w:tcPr>
            <w:tcW w:w="3843" w:type="dxa"/>
            <w:vAlign w:val="bottom"/>
          </w:tcPr>
          <w:p w14:paraId="74683416" w14:textId="77777777" w:rsidR="004E384B" w:rsidRPr="005D4613" w:rsidRDefault="004E384B" w:rsidP="00A50B82">
            <w:r w:rsidRPr="005D4613">
              <w:t>Ramipril</w:t>
            </w:r>
          </w:p>
        </w:tc>
        <w:tc>
          <w:tcPr>
            <w:tcW w:w="3843" w:type="dxa"/>
          </w:tcPr>
          <w:p w14:paraId="5CA32854" w14:textId="77777777" w:rsidR="004E384B" w:rsidRPr="005D4613" w:rsidRDefault="004E384B" w:rsidP="00A50B82">
            <w:r w:rsidRPr="005D4613">
              <w:t>ACE inhibitor</w:t>
            </w:r>
          </w:p>
        </w:tc>
      </w:tr>
      <w:tr w:rsidR="004E384B" w:rsidRPr="005D4613" w14:paraId="7A7696B4" w14:textId="77777777" w:rsidTr="00A50B82">
        <w:trPr>
          <w:trHeight w:val="283"/>
        </w:trPr>
        <w:tc>
          <w:tcPr>
            <w:tcW w:w="3843" w:type="dxa"/>
            <w:vAlign w:val="bottom"/>
          </w:tcPr>
          <w:p w14:paraId="431EC6C8" w14:textId="77777777" w:rsidR="004E384B" w:rsidRPr="005D4613" w:rsidRDefault="004E384B" w:rsidP="00A50B82">
            <w:r w:rsidRPr="005D4613">
              <w:t>Sertraline</w:t>
            </w:r>
          </w:p>
        </w:tc>
        <w:tc>
          <w:tcPr>
            <w:tcW w:w="3843" w:type="dxa"/>
          </w:tcPr>
          <w:p w14:paraId="0EBCC24C" w14:textId="77777777" w:rsidR="004E384B" w:rsidRPr="005D4613" w:rsidRDefault="004E384B" w:rsidP="00A50B82">
            <w:r w:rsidRPr="005D4613">
              <w:t>Antidepressant</w:t>
            </w:r>
          </w:p>
        </w:tc>
      </w:tr>
      <w:tr w:rsidR="004E384B" w:rsidRPr="005D4613" w14:paraId="7057A01B" w14:textId="77777777" w:rsidTr="00A50B82">
        <w:trPr>
          <w:trHeight w:val="283"/>
        </w:trPr>
        <w:tc>
          <w:tcPr>
            <w:tcW w:w="3843" w:type="dxa"/>
            <w:vAlign w:val="bottom"/>
          </w:tcPr>
          <w:p w14:paraId="328060F7" w14:textId="77777777" w:rsidR="004E384B" w:rsidRPr="005D4613" w:rsidRDefault="004E384B" w:rsidP="00A50B82">
            <w:r w:rsidRPr="005D4613">
              <w:t xml:space="preserve">Venlafaxine </w:t>
            </w:r>
          </w:p>
        </w:tc>
        <w:tc>
          <w:tcPr>
            <w:tcW w:w="3843" w:type="dxa"/>
          </w:tcPr>
          <w:p w14:paraId="0214BB07" w14:textId="77777777" w:rsidR="004E384B" w:rsidRPr="005D4613" w:rsidRDefault="004E384B" w:rsidP="00A50B82">
            <w:r w:rsidRPr="005D4613">
              <w:t xml:space="preserve">Antidepressant </w:t>
            </w:r>
          </w:p>
        </w:tc>
      </w:tr>
      <w:tr w:rsidR="004E384B" w:rsidRPr="005D4613" w14:paraId="78DEAEB7" w14:textId="77777777" w:rsidTr="00A50B82">
        <w:trPr>
          <w:trHeight w:val="283"/>
        </w:trPr>
        <w:tc>
          <w:tcPr>
            <w:tcW w:w="3843" w:type="dxa"/>
            <w:vAlign w:val="bottom"/>
          </w:tcPr>
          <w:p w14:paraId="6CA61E39" w14:textId="77777777" w:rsidR="004E384B" w:rsidRPr="005D4613" w:rsidRDefault="004E384B" w:rsidP="00A50B82">
            <w:r w:rsidRPr="005D4613">
              <w:t>Warfarin</w:t>
            </w:r>
          </w:p>
        </w:tc>
        <w:tc>
          <w:tcPr>
            <w:tcW w:w="3843" w:type="dxa"/>
          </w:tcPr>
          <w:p w14:paraId="3BE26F90" w14:textId="77777777" w:rsidR="004E384B" w:rsidRPr="005D4613" w:rsidRDefault="004E384B" w:rsidP="00A50B82">
            <w:r w:rsidRPr="005D4613">
              <w:t>Anticoagulant</w:t>
            </w:r>
          </w:p>
        </w:tc>
      </w:tr>
      <w:tr w:rsidR="004E384B" w:rsidRPr="005D4613" w14:paraId="153D677C" w14:textId="77777777" w:rsidTr="00A50B82">
        <w:trPr>
          <w:trHeight w:val="283"/>
        </w:trPr>
        <w:tc>
          <w:tcPr>
            <w:tcW w:w="3843" w:type="dxa"/>
            <w:vAlign w:val="bottom"/>
          </w:tcPr>
          <w:p w14:paraId="11E1A6A8" w14:textId="77777777" w:rsidR="004E384B" w:rsidRPr="005D4613" w:rsidRDefault="004E384B" w:rsidP="00A50B82">
            <w:r w:rsidRPr="005D4613">
              <w:t xml:space="preserve">Xylometazoline </w:t>
            </w:r>
          </w:p>
        </w:tc>
        <w:tc>
          <w:tcPr>
            <w:tcW w:w="3843" w:type="dxa"/>
          </w:tcPr>
          <w:p w14:paraId="18C33E65" w14:textId="77777777" w:rsidR="004E384B" w:rsidRPr="005D4613" w:rsidRDefault="004E384B" w:rsidP="00A50B82">
            <w:r w:rsidRPr="005D4613">
              <w:t>Nasal decongestant</w:t>
            </w:r>
          </w:p>
        </w:tc>
      </w:tr>
    </w:tbl>
    <w:p w14:paraId="5F2DEBEE" w14:textId="2F013193" w:rsidR="00560190" w:rsidRDefault="00560190">
      <w:pPr>
        <w:rPr>
          <w:lang w:val="en-GB"/>
        </w:rPr>
      </w:pPr>
    </w:p>
    <w:p w14:paraId="657EFDDF" w14:textId="06513BD2" w:rsidR="002C1673" w:rsidRDefault="002C1673" w:rsidP="002C1673">
      <w:pPr>
        <w:rPr>
          <w:lang w:val="en-GB"/>
        </w:rPr>
      </w:pPr>
      <w:r>
        <w:rPr>
          <w:lang w:val="en-GB"/>
        </w:rPr>
        <w:t xml:space="preserve">Other abbreviations used </w:t>
      </w:r>
      <w:r w:rsidR="000C6C0E">
        <w:rPr>
          <w:lang w:val="en-GB"/>
        </w:rPr>
        <w:t>in the excel file</w:t>
      </w:r>
      <w:r>
        <w:rPr>
          <w:lang w:val="en-GB"/>
        </w:rPr>
        <w:t>:</w:t>
      </w:r>
    </w:p>
    <w:p w14:paraId="53DE3771" w14:textId="48C27D06" w:rsidR="002C1673" w:rsidRDefault="002C1673" w:rsidP="002C1673">
      <w:pPr>
        <w:rPr>
          <w:lang w:val="en-GB"/>
        </w:rPr>
      </w:pPr>
      <w:r>
        <w:rPr>
          <w:lang w:val="en-GB"/>
        </w:rPr>
        <w:t>NM= Not Measured</w:t>
      </w:r>
    </w:p>
    <w:p w14:paraId="6843383A" w14:textId="348A0ED6" w:rsidR="00980B7C" w:rsidRDefault="00980B7C" w:rsidP="002C1673">
      <w:pPr>
        <w:rPr>
          <w:lang w:val="en-GB"/>
        </w:rPr>
      </w:pPr>
      <w:r>
        <w:rPr>
          <w:lang w:val="en-GB"/>
        </w:rPr>
        <w:t>MPN = most probable number (for bacterial counts)</w:t>
      </w:r>
    </w:p>
    <w:p w14:paraId="2F680721" w14:textId="1B67B605" w:rsidR="00471DDE" w:rsidRDefault="002B5073" w:rsidP="002C1673">
      <w:pPr>
        <w:rPr>
          <w:lang w:val="en-GB"/>
        </w:rPr>
      </w:pPr>
      <w:r>
        <w:rPr>
          <w:lang w:val="en-GB"/>
        </w:rPr>
        <w:t>NA = Not Applicable</w:t>
      </w:r>
      <w:r w:rsidR="00CC4FD6">
        <w:rPr>
          <w:lang w:val="en-GB"/>
        </w:rPr>
        <w:t xml:space="preserve"> </w:t>
      </w:r>
    </w:p>
    <w:p w14:paraId="1E6F5F42" w14:textId="789972CF" w:rsidR="00F12EF7" w:rsidRDefault="00F12EF7">
      <w:pPr>
        <w:rPr>
          <w:lang w:val="en-GB"/>
        </w:rPr>
      </w:pPr>
    </w:p>
    <w:p w14:paraId="31D674DF" w14:textId="4893A8FF" w:rsidR="00131547" w:rsidRPr="00DA1797" w:rsidRDefault="00131547">
      <w:pPr>
        <w:rPr>
          <w:b/>
          <w:bCs/>
          <w:lang w:val="en-GB"/>
        </w:rPr>
      </w:pPr>
      <w:r w:rsidRPr="00DA1797">
        <w:rPr>
          <w:b/>
          <w:bCs/>
          <w:lang w:val="en-GB"/>
        </w:rPr>
        <w:t xml:space="preserve">References </w:t>
      </w:r>
    </w:p>
    <w:p w14:paraId="74918E99" w14:textId="77777777" w:rsidR="00DA1797" w:rsidRPr="00F3475B" w:rsidRDefault="00DA1797" w:rsidP="00DA1797">
      <w:pPr>
        <w:widowControl w:val="0"/>
        <w:autoSpaceDE w:val="0"/>
        <w:autoSpaceDN w:val="0"/>
        <w:adjustRightInd w:val="0"/>
        <w:spacing w:line="240" w:lineRule="auto"/>
        <w:ind w:left="480" w:hanging="480"/>
        <w:rPr>
          <w:rFonts w:ascii="Calibri" w:hAnsi="Calibri" w:cs="Calibri"/>
          <w:noProof/>
          <w:sz w:val="20"/>
          <w:lang w:val="en-GB"/>
        </w:rPr>
      </w:pPr>
      <w:r w:rsidRPr="00F3475B">
        <w:rPr>
          <w:sz w:val="20"/>
          <w:szCs w:val="20"/>
          <w:lang w:val="en-GB"/>
        </w:rPr>
        <w:fldChar w:fldCharType="begin" w:fldLock="1"/>
      </w:r>
      <w:r w:rsidRPr="00F3475B">
        <w:rPr>
          <w:sz w:val="20"/>
          <w:szCs w:val="20"/>
          <w:lang w:val="en-GB"/>
        </w:rPr>
        <w:instrText xml:space="preserve">ADDIN Mendeley Bibliography CSL_BIBLIOGRAPHY </w:instrText>
      </w:r>
      <w:r w:rsidRPr="00F3475B">
        <w:rPr>
          <w:sz w:val="20"/>
          <w:szCs w:val="20"/>
          <w:lang w:val="en-GB"/>
        </w:rPr>
        <w:fldChar w:fldCharType="separate"/>
      </w:r>
      <w:r w:rsidRPr="00F3475B">
        <w:rPr>
          <w:rFonts w:ascii="Calibri" w:hAnsi="Calibri" w:cs="Calibri"/>
          <w:noProof/>
          <w:sz w:val="20"/>
          <w:lang w:val="en-GB"/>
        </w:rPr>
        <w:t>ISO 10304-1:2007</w:t>
      </w:r>
      <w:r w:rsidRPr="00F3475B">
        <w:rPr>
          <w:rFonts w:ascii="Calibri" w:hAnsi="Calibri" w:cs="Calibri"/>
          <w:i/>
          <w:iCs/>
          <w:noProof/>
          <w:sz w:val="20"/>
          <w:lang w:val="en-GB"/>
        </w:rPr>
        <w:t>(en), Water quality — Determination of dissolved anions by liquid chromatography of ions — Part 1: Determination of bromide, chloride, fluoride, nitrate, nitrite, phosphate and sulfate</w:t>
      </w:r>
      <w:r w:rsidRPr="00F3475B">
        <w:rPr>
          <w:rFonts w:ascii="Calibri" w:hAnsi="Calibri" w:cs="Calibri"/>
          <w:noProof/>
          <w:sz w:val="20"/>
          <w:lang w:val="en-GB"/>
        </w:rPr>
        <w:t xml:space="preserve"> (2007).</w:t>
      </w:r>
    </w:p>
    <w:p w14:paraId="0F1868F7" w14:textId="77777777" w:rsidR="00DA1797" w:rsidRPr="00F3475B" w:rsidRDefault="00DA1797" w:rsidP="00DA1797">
      <w:pPr>
        <w:widowControl w:val="0"/>
        <w:autoSpaceDE w:val="0"/>
        <w:autoSpaceDN w:val="0"/>
        <w:adjustRightInd w:val="0"/>
        <w:spacing w:line="240" w:lineRule="auto"/>
        <w:ind w:left="480" w:hanging="480"/>
        <w:rPr>
          <w:rFonts w:ascii="Calibri" w:hAnsi="Calibri" w:cs="Calibri"/>
          <w:noProof/>
          <w:sz w:val="20"/>
          <w:lang w:val="en-GB"/>
        </w:rPr>
      </w:pPr>
      <w:r w:rsidRPr="00F3475B">
        <w:rPr>
          <w:rFonts w:ascii="Calibri" w:hAnsi="Calibri" w:cs="Calibri"/>
          <w:noProof/>
          <w:sz w:val="20"/>
          <w:lang w:val="en-GB"/>
        </w:rPr>
        <w:t xml:space="preserve">European Committee for Standardization, </w:t>
      </w:r>
      <w:r w:rsidRPr="00F3475B">
        <w:rPr>
          <w:rFonts w:ascii="Calibri" w:hAnsi="Calibri" w:cs="Calibri"/>
          <w:i/>
          <w:iCs/>
          <w:noProof/>
          <w:sz w:val="20"/>
          <w:lang w:val="en-GB"/>
        </w:rPr>
        <w:t>CEN/TC 230. EN 1484:1997. Water analysis - Guidelines for the determination of total organic carbon (TOC) and dissolved organic carbon (DOC)</w:t>
      </w:r>
      <w:r w:rsidRPr="00F3475B">
        <w:rPr>
          <w:rFonts w:ascii="Calibri" w:hAnsi="Calibri" w:cs="Calibri"/>
          <w:noProof/>
          <w:sz w:val="20"/>
          <w:lang w:val="en-GB"/>
        </w:rPr>
        <w:t xml:space="preserve"> (1997).</w:t>
      </w:r>
    </w:p>
    <w:p w14:paraId="367F7611" w14:textId="77777777" w:rsidR="00DA1797" w:rsidRPr="00F3475B" w:rsidRDefault="00DA1797" w:rsidP="00DA1797">
      <w:pPr>
        <w:widowControl w:val="0"/>
        <w:autoSpaceDE w:val="0"/>
        <w:autoSpaceDN w:val="0"/>
        <w:adjustRightInd w:val="0"/>
        <w:spacing w:line="240" w:lineRule="auto"/>
        <w:ind w:left="480" w:hanging="480"/>
        <w:rPr>
          <w:rFonts w:ascii="Calibri" w:hAnsi="Calibri" w:cs="Calibri"/>
          <w:noProof/>
          <w:sz w:val="20"/>
          <w:lang w:val="en-GB"/>
        </w:rPr>
      </w:pPr>
      <w:r w:rsidRPr="00F3475B">
        <w:rPr>
          <w:rFonts w:ascii="Calibri" w:hAnsi="Calibri" w:cs="Calibri"/>
          <w:noProof/>
          <w:sz w:val="20"/>
          <w:lang w:val="en-GB"/>
        </w:rPr>
        <w:t xml:space="preserve">European Committee for Standardization, </w:t>
      </w:r>
      <w:r w:rsidRPr="00F3475B">
        <w:rPr>
          <w:rFonts w:ascii="Calibri" w:hAnsi="Calibri" w:cs="Calibri"/>
          <w:i/>
          <w:iCs/>
          <w:noProof/>
          <w:sz w:val="20"/>
          <w:lang w:val="en-GB"/>
        </w:rPr>
        <w:t>CEN/TC 230. EN 1899-1:1998. Water quality - Determination of biochemical oxygen demand after n days (BODn) - Part 1: dilution and seeding method with allylthiourea addition (ISO 5815:1989, modified)</w:t>
      </w:r>
      <w:r w:rsidRPr="00F3475B">
        <w:rPr>
          <w:rFonts w:ascii="Calibri" w:hAnsi="Calibri" w:cs="Calibri"/>
          <w:noProof/>
          <w:sz w:val="20"/>
          <w:lang w:val="en-GB"/>
        </w:rPr>
        <w:t xml:space="preserve"> (1998).</w:t>
      </w:r>
    </w:p>
    <w:p w14:paraId="52E135B4" w14:textId="77777777" w:rsidR="00DA1797" w:rsidRPr="00F3475B" w:rsidRDefault="00DA1797" w:rsidP="00DA1797">
      <w:pPr>
        <w:widowControl w:val="0"/>
        <w:autoSpaceDE w:val="0"/>
        <w:autoSpaceDN w:val="0"/>
        <w:adjustRightInd w:val="0"/>
        <w:spacing w:line="240" w:lineRule="auto"/>
        <w:ind w:left="480" w:hanging="480"/>
        <w:rPr>
          <w:rFonts w:ascii="Calibri" w:hAnsi="Calibri" w:cs="Calibri"/>
          <w:noProof/>
          <w:sz w:val="20"/>
          <w:lang w:val="en-GB"/>
        </w:rPr>
      </w:pPr>
      <w:r w:rsidRPr="00F3475B">
        <w:rPr>
          <w:rFonts w:ascii="Calibri" w:hAnsi="Calibri" w:cs="Calibri"/>
          <w:noProof/>
          <w:sz w:val="20"/>
          <w:lang w:val="en-GB"/>
        </w:rPr>
        <w:t xml:space="preserve">European Committee for Standardization, </w:t>
      </w:r>
      <w:r w:rsidRPr="00F3475B">
        <w:rPr>
          <w:rFonts w:ascii="Calibri" w:hAnsi="Calibri" w:cs="Calibri"/>
          <w:i/>
          <w:iCs/>
          <w:noProof/>
          <w:sz w:val="20"/>
          <w:lang w:val="en-GB"/>
        </w:rPr>
        <w:t>CEN/TC 230. EN 872:2005. Water quality - Determination of suspended solids - Method by filtration through glass fibre filters</w:t>
      </w:r>
      <w:r w:rsidRPr="00F3475B">
        <w:rPr>
          <w:rFonts w:ascii="Calibri" w:hAnsi="Calibri" w:cs="Calibri"/>
          <w:noProof/>
          <w:sz w:val="20"/>
          <w:lang w:val="en-GB"/>
        </w:rPr>
        <w:t xml:space="preserve"> (2005).</w:t>
      </w:r>
    </w:p>
    <w:p w14:paraId="24D617D4" w14:textId="77777777" w:rsidR="00DA1797" w:rsidRPr="00F3475B" w:rsidRDefault="00DA1797" w:rsidP="00DA1797">
      <w:pPr>
        <w:widowControl w:val="0"/>
        <w:autoSpaceDE w:val="0"/>
        <w:autoSpaceDN w:val="0"/>
        <w:adjustRightInd w:val="0"/>
        <w:spacing w:line="240" w:lineRule="auto"/>
        <w:ind w:left="480" w:hanging="480"/>
        <w:rPr>
          <w:rFonts w:ascii="Calibri" w:hAnsi="Calibri" w:cs="Calibri"/>
          <w:noProof/>
          <w:sz w:val="20"/>
          <w:lang w:val="en-GB"/>
        </w:rPr>
      </w:pPr>
      <w:r w:rsidRPr="00F3475B">
        <w:rPr>
          <w:rFonts w:ascii="Calibri" w:hAnsi="Calibri" w:cs="Calibri"/>
          <w:noProof/>
          <w:sz w:val="20"/>
          <w:lang w:val="en-GB"/>
        </w:rPr>
        <w:lastRenderedPageBreak/>
        <w:t xml:space="preserve">European Committee for Standardization, </w:t>
      </w:r>
      <w:r w:rsidRPr="00F3475B">
        <w:rPr>
          <w:rFonts w:ascii="Calibri" w:hAnsi="Calibri" w:cs="Calibri"/>
          <w:i/>
          <w:iCs/>
          <w:noProof/>
          <w:sz w:val="20"/>
          <w:lang w:val="en-GB"/>
        </w:rPr>
        <w:t>CEN/TC 444. EN 16192:2011. Characterization of waste - Analysis of eluates</w:t>
      </w:r>
      <w:r w:rsidRPr="00F3475B">
        <w:rPr>
          <w:rFonts w:ascii="Calibri" w:hAnsi="Calibri" w:cs="Calibri"/>
          <w:noProof/>
          <w:sz w:val="20"/>
          <w:lang w:val="en-GB"/>
        </w:rPr>
        <w:t xml:space="preserve"> (2011).</w:t>
      </w:r>
    </w:p>
    <w:p w14:paraId="445CE6E6" w14:textId="77777777" w:rsidR="00DA1797" w:rsidRPr="00F3475B" w:rsidRDefault="00DA1797" w:rsidP="00DA1797">
      <w:pPr>
        <w:widowControl w:val="0"/>
        <w:autoSpaceDE w:val="0"/>
        <w:autoSpaceDN w:val="0"/>
        <w:adjustRightInd w:val="0"/>
        <w:spacing w:line="240" w:lineRule="auto"/>
        <w:ind w:left="480" w:hanging="480"/>
        <w:rPr>
          <w:rFonts w:ascii="Calibri" w:hAnsi="Calibri" w:cs="Calibri"/>
          <w:noProof/>
          <w:sz w:val="20"/>
          <w:lang w:val="en-GB"/>
        </w:rPr>
      </w:pPr>
      <w:r w:rsidRPr="00F3475B">
        <w:rPr>
          <w:rFonts w:ascii="Calibri" w:hAnsi="Calibri" w:cs="Calibri"/>
          <w:noProof/>
          <w:sz w:val="20"/>
          <w:lang w:val="en-GB"/>
        </w:rPr>
        <w:t xml:space="preserve">ISO 11732:2005, </w:t>
      </w:r>
      <w:r w:rsidRPr="00F3475B">
        <w:rPr>
          <w:rFonts w:ascii="Calibri" w:hAnsi="Calibri" w:cs="Calibri"/>
          <w:i/>
          <w:iCs/>
          <w:noProof/>
          <w:sz w:val="20"/>
          <w:lang w:val="en-GB"/>
        </w:rPr>
        <w:t>ISO 11732:2005 - Water quality - Determination of ammonium nitrogen - Method by flow analysis (CFA and FIA) and spectrometric detection</w:t>
      </w:r>
      <w:r w:rsidRPr="00F3475B">
        <w:rPr>
          <w:rFonts w:ascii="Calibri" w:hAnsi="Calibri" w:cs="Calibri"/>
          <w:noProof/>
          <w:sz w:val="20"/>
          <w:lang w:val="en-GB"/>
        </w:rPr>
        <w:t xml:space="preserve"> (2005).</w:t>
      </w:r>
    </w:p>
    <w:p w14:paraId="4FA19FA9" w14:textId="2D8911C2" w:rsidR="00F12EF7" w:rsidRDefault="00DA1797" w:rsidP="00DA1797">
      <w:pPr>
        <w:widowControl w:val="0"/>
        <w:autoSpaceDE w:val="0"/>
        <w:autoSpaceDN w:val="0"/>
        <w:adjustRightInd w:val="0"/>
        <w:spacing w:line="240" w:lineRule="auto"/>
        <w:ind w:left="480" w:hanging="480"/>
        <w:rPr>
          <w:lang w:val="en-GB"/>
        </w:rPr>
      </w:pPr>
      <w:r w:rsidRPr="00F3475B">
        <w:rPr>
          <w:rFonts w:ascii="Calibri" w:hAnsi="Calibri" w:cs="Calibri"/>
          <w:noProof/>
          <w:sz w:val="20"/>
          <w:lang w:val="en-GB"/>
        </w:rPr>
        <w:t xml:space="preserve">SS-EN 1189, </w:t>
      </w:r>
      <w:r w:rsidRPr="00F3475B">
        <w:rPr>
          <w:rFonts w:ascii="Calibri" w:hAnsi="Calibri" w:cs="Calibri"/>
          <w:i/>
          <w:iCs/>
          <w:noProof/>
          <w:sz w:val="20"/>
          <w:lang w:val="en-GB"/>
        </w:rPr>
        <w:t>SS-EN 1189 Standard - Water quality - Determination of phosphorus - Ammonium molybdate spectrometric method. Swedish Institute for Standards</w:t>
      </w:r>
      <w:r w:rsidRPr="00F3475B">
        <w:rPr>
          <w:rFonts w:ascii="Calibri" w:hAnsi="Calibri" w:cs="Calibri"/>
          <w:noProof/>
          <w:sz w:val="20"/>
          <w:lang w:val="en-GB"/>
        </w:rPr>
        <w:t xml:space="preserve">. </w:t>
      </w:r>
      <w:r w:rsidRPr="00F3475B">
        <w:rPr>
          <w:sz w:val="20"/>
          <w:szCs w:val="20"/>
          <w:lang w:val="en-GB"/>
        </w:rPr>
        <w:fldChar w:fldCharType="end"/>
      </w:r>
    </w:p>
    <w:sectPr w:rsidR="00F12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7C"/>
    <w:rsid w:val="00011F6B"/>
    <w:rsid w:val="000154DF"/>
    <w:rsid w:val="000255E4"/>
    <w:rsid w:val="0003727C"/>
    <w:rsid w:val="0007127E"/>
    <w:rsid w:val="00076B68"/>
    <w:rsid w:val="000C2FC0"/>
    <w:rsid w:val="000C6C0E"/>
    <w:rsid w:val="000C6C29"/>
    <w:rsid w:val="00131547"/>
    <w:rsid w:val="00134698"/>
    <w:rsid w:val="00174C4B"/>
    <w:rsid w:val="001802AB"/>
    <w:rsid w:val="00197E9B"/>
    <w:rsid w:val="001C2406"/>
    <w:rsid w:val="00203AAD"/>
    <w:rsid w:val="00220697"/>
    <w:rsid w:val="002372B3"/>
    <w:rsid w:val="00253CFF"/>
    <w:rsid w:val="00254153"/>
    <w:rsid w:val="00261225"/>
    <w:rsid w:val="0026315D"/>
    <w:rsid w:val="00293940"/>
    <w:rsid w:val="002B4F40"/>
    <w:rsid w:val="002B5073"/>
    <w:rsid w:val="002C1673"/>
    <w:rsid w:val="0035164A"/>
    <w:rsid w:val="00352512"/>
    <w:rsid w:val="00363264"/>
    <w:rsid w:val="0038428F"/>
    <w:rsid w:val="00387C29"/>
    <w:rsid w:val="00392A65"/>
    <w:rsid w:val="0039508A"/>
    <w:rsid w:val="00395C7C"/>
    <w:rsid w:val="003B705A"/>
    <w:rsid w:val="003C6AE3"/>
    <w:rsid w:val="003D64DA"/>
    <w:rsid w:val="003E0840"/>
    <w:rsid w:val="003F15F7"/>
    <w:rsid w:val="003F6C54"/>
    <w:rsid w:val="00415CA9"/>
    <w:rsid w:val="00422E5A"/>
    <w:rsid w:val="004357F2"/>
    <w:rsid w:val="00454EAB"/>
    <w:rsid w:val="00471DDE"/>
    <w:rsid w:val="004C22C7"/>
    <w:rsid w:val="004C5294"/>
    <w:rsid w:val="004D588F"/>
    <w:rsid w:val="004E1779"/>
    <w:rsid w:val="004E384B"/>
    <w:rsid w:val="004F0238"/>
    <w:rsid w:val="004F1B1D"/>
    <w:rsid w:val="004F3E59"/>
    <w:rsid w:val="005167BE"/>
    <w:rsid w:val="005318FC"/>
    <w:rsid w:val="00532F32"/>
    <w:rsid w:val="00560190"/>
    <w:rsid w:val="00560870"/>
    <w:rsid w:val="005743F7"/>
    <w:rsid w:val="005834A3"/>
    <w:rsid w:val="005C5E6C"/>
    <w:rsid w:val="005F72AA"/>
    <w:rsid w:val="00603D0C"/>
    <w:rsid w:val="00605EA0"/>
    <w:rsid w:val="00612569"/>
    <w:rsid w:val="00620565"/>
    <w:rsid w:val="00636F12"/>
    <w:rsid w:val="00663622"/>
    <w:rsid w:val="00667D0F"/>
    <w:rsid w:val="0069014C"/>
    <w:rsid w:val="006B4AF7"/>
    <w:rsid w:val="006C4765"/>
    <w:rsid w:val="006F3A69"/>
    <w:rsid w:val="0072260F"/>
    <w:rsid w:val="00740072"/>
    <w:rsid w:val="0074561B"/>
    <w:rsid w:val="0078126A"/>
    <w:rsid w:val="00783246"/>
    <w:rsid w:val="00791CB9"/>
    <w:rsid w:val="007942E5"/>
    <w:rsid w:val="007A324F"/>
    <w:rsid w:val="007B07F6"/>
    <w:rsid w:val="007B1F78"/>
    <w:rsid w:val="007C6AF5"/>
    <w:rsid w:val="007D36C6"/>
    <w:rsid w:val="007D4137"/>
    <w:rsid w:val="008B6998"/>
    <w:rsid w:val="008C4F4B"/>
    <w:rsid w:val="008E129A"/>
    <w:rsid w:val="00952A2D"/>
    <w:rsid w:val="009722ED"/>
    <w:rsid w:val="00980B7C"/>
    <w:rsid w:val="009A37FD"/>
    <w:rsid w:val="009A68E9"/>
    <w:rsid w:val="009D6F98"/>
    <w:rsid w:val="00A7099A"/>
    <w:rsid w:val="00A76115"/>
    <w:rsid w:val="00AA1C7E"/>
    <w:rsid w:val="00AA3864"/>
    <w:rsid w:val="00AA73E1"/>
    <w:rsid w:val="00AC799F"/>
    <w:rsid w:val="00B26B7B"/>
    <w:rsid w:val="00B47A9F"/>
    <w:rsid w:val="00B553DB"/>
    <w:rsid w:val="00B74868"/>
    <w:rsid w:val="00B811CB"/>
    <w:rsid w:val="00B93B78"/>
    <w:rsid w:val="00BF7840"/>
    <w:rsid w:val="00C21A57"/>
    <w:rsid w:val="00C42019"/>
    <w:rsid w:val="00C4548B"/>
    <w:rsid w:val="00C540A2"/>
    <w:rsid w:val="00C67146"/>
    <w:rsid w:val="00C916D2"/>
    <w:rsid w:val="00CA4A00"/>
    <w:rsid w:val="00CC3F19"/>
    <w:rsid w:val="00CC4FD6"/>
    <w:rsid w:val="00CC5D1E"/>
    <w:rsid w:val="00CD4733"/>
    <w:rsid w:val="00CE29C3"/>
    <w:rsid w:val="00CF5BD6"/>
    <w:rsid w:val="00D05533"/>
    <w:rsid w:val="00D44D85"/>
    <w:rsid w:val="00D91263"/>
    <w:rsid w:val="00DA1797"/>
    <w:rsid w:val="00DC7C71"/>
    <w:rsid w:val="00DD2DE9"/>
    <w:rsid w:val="00E179B1"/>
    <w:rsid w:val="00E20DA4"/>
    <w:rsid w:val="00E86BF4"/>
    <w:rsid w:val="00EC4607"/>
    <w:rsid w:val="00ED0BB4"/>
    <w:rsid w:val="00ED1970"/>
    <w:rsid w:val="00F117F9"/>
    <w:rsid w:val="00F12EF7"/>
    <w:rsid w:val="00F26230"/>
    <w:rsid w:val="00FD46BA"/>
    <w:rsid w:val="00FF1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7692"/>
  <w15:chartTrackingRefBased/>
  <w15:docId w15:val="{D6186B0E-DEF6-44FC-8B52-4FAE1EDD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384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EF7"/>
    <w:rPr>
      <w:color w:val="0000FF"/>
      <w:u w:val="single"/>
    </w:rPr>
  </w:style>
  <w:style w:type="table" w:styleId="TableGrid">
    <w:name w:val="Table Grid"/>
    <w:basedOn w:val="TableNormal"/>
    <w:uiPriority w:val="39"/>
    <w:rsid w:val="00B4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384B"/>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4E384B"/>
    <w:pPr>
      <w:spacing w:after="200" w:line="240" w:lineRule="auto"/>
    </w:pPr>
    <w:rPr>
      <w:i/>
      <w:iCs/>
      <w:color w:val="44546A" w:themeColor="text2"/>
      <w:sz w:val="18"/>
      <w:szCs w:val="18"/>
    </w:rPr>
  </w:style>
  <w:style w:type="paragraph" w:styleId="NormalWeb">
    <w:name w:val="Normal (Web)"/>
    <w:basedOn w:val="Normal"/>
    <w:uiPriority w:val="99"/>
    <w:unhideWhenUsed/>
    <w:rsid w:val="004E384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78461">
      <w:bodyDiv w:val="1"/>
      <w:marLeft w:val="0"/>
      <w:marRight w:val="0"/>
      <w:marTop w:val="0"/>
      <w:marBottom w:val="0"/>
      <w:divBdr>
        <w:top w:val="none" w:sz="0" w:space="0" w:color="auto"/>
        <w:left w:val="none" w:sz="0" w:space="0" w:color="auto"/>
        <w:bottom w:val="none" w:sz="0" w:space="0" w:color="auto"/>
        <w:right w:val="none" w:sz="0" w:space="0" w:color="auto"/>
      </w:divBdr>
      <w:divsChild>
        <w:div w:id="1315135558">
          <w:marLeft w:val="0"/>
          <w:marRight w:val="0"/>
          <w:marTop w:val="0"/>
          <w:marBottom w:val="0"/>
          <w:divBdr>
            <w:top w:val="none" w:sz="0" w:space="0" w:color="auto"/>
            <w:left w:val="none" w:sz="0" w:space="0" w:color="auto"/>
            <w:bottom w:val="none" w:sz="0" w:space="0" w:color="auto"/>
            <w:right w:val="none" w:sz="0" w:space="0" w:color="auto"/>
          </w:divBdr>
          <w:divsChild>
            <w:div w:id="30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1392</TotalTime>
  <Pages>5</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LTU</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Vidal </dc:creator>
  <cp:keywords/>
  <dc:description/>
  <cp:lastModifiedBy>Brenda Vidal </cp:lastModifiedBy>
  <cp:revision>128</cp:revision>
  <dcterms:created xsi:type="dcterms:W3CDTF">2023-04-27T09:30:00Z</dcterms:created>
  <dcterms:modified xsi:type="dcterms:W3CDTF">2023-05-11T09:43:00Z</dcterms:modified>
</cp:coreProperties>
</file>