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B1B2" w14:textId="75CE49CB" w:rsidR="00E33E15" w:rsidRDefault="00E33E15" w:rsidP="00E33E15">
      <w:pPr>
        <w:pStyle w:val="Rubrik1"/>
      </w:pPr>
      <w:r w:rsidRPr="00E33E15">
        <w:t>Preschool room acoustics - collected and analysed data in the research project SPACE (Supportive Preschool AcoustiC Environment)</w:t>
      </w:r>
    </w:p>
    <w:p w14:paraId="05F1E124" w14:textId="77777777" w:rsidR="00E33E15" w:rsidRDefault="00E33E15" w:rsidP="00E33E15">
      <w:pPr>
        <w:spacing w:after="120" w:line="240" w:lineRule="auto"/>
        <w:rPr>
          <w:rFonts w:ascii="Times" w:hAnsi="Times"/>
        </w:rPr>
      </w:pPr>
    </w:p>
    <w:p w14:paraId="4212ED60" w14:textId="4990FA19" w:rsidR="00E33E15" w:rsidRDefault="00E33E15" w:rsidP="00E33E15">
      <w:pPr>
        <w:pStyle w:val="Rubrik2"/>
      </w:pPr>
      <w:r>
        <w:t>Data collection and analysis</w:t>
      </w:r>
    </w:p>
    <w:p w14:paraId="77019002" w14:textId="2836316D" w:rsidR="00E33E15" w:rsidRPr="00E33E15" w:rsidRDefault="00E33E15" w:rsidP="00E33E15">
      <w:pPr>
        <w:spacing w:after="120" w:line="240" w:lineRule="auto"/>
        <w:rPr>
          <w:rFonts w:ascii="Times" w:hAnsi="Times"/>
        </w:rPr>
      </w:pPr>
      <w:r w:rsidRPr="00E33E15">
        <w:rPr>
          <w:rFonts w:ascii="Times" w:hAnsi="Times"/>
        </w:rPr>
        <w:t xml:space="preserve">The data set contains the result of room acoustic measurements and additional information from 57 rooms in 19 different public preschools in the Gothenburg </w:t>
      </w:r>
      <w:r>
        <w:rPr>
          <w:rFonts w:ascii="Times" w:hAnsi="Times"/>
        </w:rPr>
        <w:t>municipality</w:t>
      </w:r>
      <w:r w:rsidRPr="00E33E15">
        <w:rPr>
          <w:rFonts w:ascii="Times" w:hAnsi="Times"/>
        </w:rPr>
        <w:t xml:space="preserve"> (Sweden). The measurements were conducted during 2019-2020. Children at preschool are divided into units commonly, but not always, based on age. The presented data covers in total 31 different units aimed at older children. Up to three rooms per unit were </w:t>
      </w:r>
      <w:r>
        <w:rPr>
          <w:rFonts w:ascii="Times" w:hAnsi="Times"/>
        </w:rPr>
        <w:t xml:space="preserve">measured, </w:t>
      </w:r>
      <w:r w:rsidRPr="00E33E15">
        <w:rPr>
          <w:rFonts w:ascii="Times" w:hAnsi="Times"/>
        </w:rPr>
        <w:t>focusing on the main playrooms and the meal room. In cases where these rooms were the same, only one room per unit was measured.</w:t>
      </w:r>
    </w:p>
    <w:p w14:paraId="6CF74950" w14:textId="32D5C628" w:rsidR="00E33E15" w:rsidRPr="00E33E15" w:rsidRDefault="00E33E15" w:rsidP="00E33E15">
      <w:pPr>
        <w:spacing w:after="120" w:line="240" w:lineRule="auto"/>
        <w:rPr>
          <w:rFonts w:ascii="Times" w:hAnsi="Times"/>
        </w:rPr>
      </w:pPr>
      <w:r w:rsidRPr="00E33E15">
        <w:rPr>
          <w:rFonts w:ascii="Times" w:hAnsi="Times"/>
        </w:rPr>
        <w:t>The preschools are divided into three groups, strata, based on the year when they were built: 1980-1994, 1995-2006, and 2007-2018.</w:t>
      </w:r>
    </w:p>
    <w:p w14:paraId="3CE07262" w14:textId="548ED70C" w:rsidR="00E33E15" w:rsidRPr="00E33E15" w:rsidRDefault="00E33E15" w:rsidP="00E33E15">
      <w:pPr>
        <w:spacing w:after="120" w:line="240" w:lineRule="auto"/>
        <w:rPr>
          <w:rFonts w:ascii="Times" w:hAnsi="Times"/>
        </w:rPr>
      </w:pPr>
      <w:r w:rsidRPr="00E33E15">
        <w:rPr>
          <w:rFonts w:ascii="Times" w:hAnsi="Times"/>
        </w:rPr>
        <w:t>To reach an even distribution with respect to socioeconomic factors we used an existing preschool-specific index acquired from the central preschool administration [Jorsäter, M., Resursfördelningsmodell Göteborg 2019. 2019, Statistics Sweden (SCB)]</w:t>
      </w:r>
      <w:r w:rsidR="00B279A6">
        <w:rPr>
          <w:rFonts w:ascii="Times" w:hAnsi="Times"/>
        </w:rPr>
        <w:t xml:space="preserve"> (attached as a PDF file)</w:t>
      </w:r>
      <w:r w:rsidRPr="00E33E15">
        <w:rPr>
          <w:rFonts w:ascii="Times" w:hAnsi="Times"/>
        </w:rPr>
        <w:t xml:space="preserve">. The index is based on a model from Statistics Sweden (SCB) where school performance after elementary school is linked with explanatory variables related to the socioeconomic background of the individual child and her/his parents. When these factors are known for the children at a specific preschool, an averaged index is calculated, centred around 100: Preschools with an index over 100 have a larger share of children with a risk of not qualifying for high school (gymnasium). Preschools with an index less than 100 have a smaller share of children with a risk of not qualifying for high school. The purpose of the index is to prioritize economic support to school units with the highest need and increase equity. </w:t>
      </w:r>
    </w:p>
    <w:p w14:paraId="1600C872" w14:textId="5A7F2241" w:rsidR="00E33E15" w:rsidRPr="00E33E15" w:rsidRDefault="00E33E15" w:rsidP="00E33E15">
      <w:pPr>
        <w:spacing w:after="120" w:line="240" w:lineRule="auto"/>
        <w:rPr>
          <w:rFonts w:ascii="Times" w:hAnsi="Times"/>
        </w:rPr>
      </w:pPr>
      <w:r w:rsidRPr="00E33E15">
        <w:rPr>
          <w:rFonts w:ascii="Times" w:hAnsi="Times"/>
        </w:rPr>
        <w:t>Room acoustic parameters and unoccupied noise levels were measured in each room using a laptop and an external 8-channel sound card (HEAD acoustics SQuadriga II). An omnidirectional sound source with a built-in generation of pink noise (50-20000 Hz) was used to excite the room. A modification was made to the device in order to extract the electronic signal from the loudspeaker.</w:t>
      </w:r>
    </w:p>
    <w:p w14:paraId="73EA0181" w14:textId="5A51FF9D" w:rsidR="00E33E15" w:rsidRPr="00E33E15" w:rsidRDefault="00E33E15" w:rsidP="00E33E15">
      <w:pPr>
        <w:spacing w:after="120" w:line="240" w:lineRule="auto"/>
        <w:rPr>
          <w:rFonts w:ascii="Times" w:hAnsi="Times"/>
        </w:rPr>
      </w:pPr>
      <w:r w:rsidRPr="00E33E15">
        <w:rPr>
          <w:rFonts w:ascii="Times" w:hAnsi="Times"/>
        </w:rPr>
        <w:t>Unoccupied noise levels were measured in accordance with ISO 16032:2004. In some rooms the contribution from the ventilation could be estimated by conducting the measurements with the ventilation unit turned on and off separately.</w:t>
      </w:r>
    </w:p>
    <w:p w14:paraId="46123170" w14:textId="16C8085F" w:rsidR="00E33E15" w:rsidRPr="00E33E15" w:rsidRDefault="00E33E15" w:rsidP="00E33E15">
      <w:pPr>
        <w:spacing w:after="120" w:line="240" w:lineRule="auto"/>
        <w:rPr>
          <w:rFonts w:ascii="Times" w:hAnsi="Times"/>
        </w:rPr>
      </w:pPr>
      <w:r w:rsidRPr="00E33E15">
        <w:rPr>
          <w:rFonts w:ascii="Times" w:hAnsi="Times"/>
        </w:rPr>
        <w:t>Room acoustic measurements were conducted following the precision method in ISO 3382-2:2008. Three microphones were used simultaneously with predetermined height intervals (1±0.2, 1.4±0.2, 1.6±0.2). The standard’s recommendation to use natural source positions were implemented by placing the loudspeaker where we estimated that a child would have its head during sitting and standing activities in the room. In addition, a corner position was always used. Impulse responses were calculated by the software ArtemiS SUITE using the loudspeakers extracted electronic signal as the reference.</w:t>
      </w:r>
    </w:p>
    <w:p w14:paraId="42FF7705" w14:textId="4D7653AF" w:rsidR="00E33E15" w:rsidRPr="00E33E15" w:rsidRDefault="00E33E15" w:rsidP="00E33E15">
      <w:pPr>
        <w:spacing w:after="120" w:line="240" w:lineRule="auto"/>
        <w:rPr>
          <w:rFonts w:ascii="Times" w:hAnsi="Times"/>
        </w:rPr>
      </w:pPr>
      <w:r w:rsidRPr="00E33E15">
        <w:rPr>
          <w:rFonts w:ascii="Times" w:hAnsi="Times"/>
        </w:rPr>
        <w:t>Impulse responses and unoccupied sound pressure level spectra were exported to Matlab. Octave band room acoustic parameters were calculated for 125 – 8000 Hz from the impulse responses with the ITA-toolbox 8.6 [Berzborn, M., et al., The ITA-Toolbox: An Open Source MATLAB Toolbox for Acoustic Measurements and Signal Processing, in DAGA 2017. 2017: Kiel.]. The analysis was done for reverberation time T20 and EDT (Early decay time), and Speech Clarity, C50. An addition to the code was made to evaluate the Clarity index with a shorter time, C35, which uses 35 ms instead of the default 50 ms [Whitlock, J.A.T. and G. Dodd, Speech Intelligibility in Classrooms: Specific Acoustical Needs for Primary School Children. Building Acoustics, 2008. 15(1): p. 35-47.]</w:t>
      </w:r>
    </w:p>
    <w:p w14:paraId="71F425EF" w14:textId="77777777" w:rsidR="00E33E15" w:rsidRPr="00E33E15" w:rsidRDefault="00E33E15" w:rsidP="00E33E15">
      <w:pPr>
        <w:spacing w:after="120" w:line="240" w:lineRule="auto"/>
        <w:rPr>
          <w:rFonts w:ascii="Times" w:hAnsi="Times"/>
        </w:rPr>
      </w:pPr>
      <w:r w:rsidRPr="00E33E15">
        <w:rPr>
          <w:rFonts w:ascii="Times" w:hAnsi="Times"/>
        </w:rPr>
        <w:t>Sound strength, G (dB), was calculated from the sound power of the loudspeaker LW (measured according to the ISO 3741 standard) and the resulting sound pressure level Lp in a measurement point: G=Lp - LW + 31 [SS-EN ISO 3382-1:2009].</w:t>
      </w:r>
    </w:p>
    <w:p w14:paraId="0BF1CDD1" w14:textId="77777777" w:rsidR="00E33E15" w:rsidRPr="00E33E15" w:rsidRDefault="00E33E15" w:rsidP="00E33E15">
      <w:pPr>
        <w:spacing w:after="120" w:line="240" w:lineRule="auto"/>
        <w:rPr>
          <w:rFonts w:ascii="Times" w:hAnsi="Times"/>
        </w:rPr>
      </w:pPr>
    </w:p>
    <w:p w14:paraId="56717BA1" w14:textId="77777777" w:rsidR="00E33E15" w:rsidRPr="00E33E15" w:rsidRDefault="00E33E15" w:rsidP="00E33E15">
      <w:pPr>
        <w:spacing w:after="120" w:line="240" w:lineRule="auto"/>
        <w:rPr>
          <w:rFonts w:ascii="Times" w:hAnsi="Times"/>
        </w:rPr>
      </w:pPr>
      <w:r w:rsidRPr="00E33E15">
        <w:rPr>
          <w:rFonts w:ascii="Times" w:hAnsi="Times"/>
        </w:rPr>
        <w:t>Additional information collected during the measurements:</w:t>
      </w:r>
    </w:p>
    <w:p w14:paraId="67AF33B5" w14:textId="77777777" w:rsidR="0094722D" w:rsidRDefault="00E33E15" w:rsidP="00E33E15">
      <w:pPr>
        <w:pStyle w:val="Liststycke"/>
        <w:numPr>
          <w:ilvl w:val="0"/>
          <w:numId w:val="1"/>
        </w:numPr>
        <w:spacing w:after="120" w:line="240" w:lineRule="auto"/>
        <w:rPr>
          <w:rFonts w:ascii="Times" w:hAnsi="Times"/>
        </w:rPr>
      </w:pPr>
      <w:r w:rsidRPr="0094722D">
        <w:rPr>
          <w:rFonts w:ascii="Times" w:hAnsi="Times"/>
        </w:rPr>
        <w:t>Dimensions and shape of the room</w:t>
      </w:r>
    </w:p>
    <w:p w14:paraId="0EED6F6D" w14:textId="77777777" w:rsidR="0094722D" w:rsidRDefault="00E33E15" w:rsidP="00E33E15">
      <w:pPr>
        <w:pStyle w:val="Liststycke"/>
        <w:numPr>
          <w:ilvl w:val="0"/>
          <w:numId w:val="1"/>
        </w:numPr>
        <w:spacing w:after="120" w:line="240" w:lineRule="auto"/>
        <w:rPr>
          <w:rFonts w:ascii="Times" w:hAnsi="Times"/>
        </w:rPr>
      </w:pPr>
      <w:r w:rsidRPr="0094722D">
        <w:rPr>
          <w:rFonts w:ascii="Times" w:hAnsi="Times"/>
        </w:rPr>
        <w:t>The floor and wall type of construction material is classified into heavy or lightweight</w:t>
      </w:r>
    </w:p>
    <w:p w14:paraId="664C4C72" w14:textId="77777777" w:rsidR="0094722D" w:rsidRDefault="00E33E15" w:rsidP="00E33E15">
      <w:pPr>
        <w:pStyle w:val="Liststycke"/>
        <w:numPr>
          <w:ilvl w:val="0"/>
          <w:numId w:val="1"/>
        </w:numPr>
        <w:spacing w:after="120" w:line="240" w:lineRule="auto"/>
        <w:rPr>
          <w:rFonts w:ascii="Times" w:hAnsi="Times"/>
        </w:rPr>
      </w:pPr>
      <w:r w:rsidRPr="0094722D">
        <w:rPr>
          <w:rFonts w:ascii="Times" w:hAnsi="Times"/>
        </w:rPr>
        <w:t xml:space="preserve">A subjective evaluation of the degree of furnishing and categorized as sparse, normal or dense. </w:t>
      </w:r>
    </w:p>
    <w:p w14:paraId="7F90558A" w14:textId="77777777" w:rsidR="0094722D" w:rsidRDefault="00E33E15" w:rsidP="00E33E15">
      <w:pPr>
        <w:pStyle w:val="Liststycke"/>
        <w:numPr>
          <w:ilvl w:val="0"/>
          <w:numId w:val="1"/>
        </w:numPr>
        <w:spacing w:after="120" w:line="240" w:lineRule="auto"/>
        <w:rPr>
          <w:rFonts w:ascii="Times" w:hAnsi="Times"/>
        </w:rPr>
      </w:pPr>
      <w:r w:rsidRPr="0094722D">
        <w:rPr>
          <w:rFonts w:ascii="Times" w:hAnsi="Times"/>
        </w:rPr>
        <w:t>Material type of the acoustic treatment in the ceiling: porous type (typical white mineral wool) or other various types, e.g. perforated gypsum boards</w:t>
      </w:r>
    </w:p>
    <w:p w14:paraId="472E732D" w14:textId="5B55AC74" w:rsidR="0094722D" w:rsidRPr="0094722D" w:rsidRDefault="00E33E15" w:rsidP="00E33E15">
      <w:pPr>
        <w:pStyle w:val="Liststycke"/>
        <w:numPr>
          <w:ilvl w:val="0"/>
          <w:numId w:val="1"/>
        </w:numPr>
        <w:spacing w:after="120" w:line="240" w:lineRule="auto"/>
        <w:rPr>
          <w:rFonts w:ascii="Times" w:hAnsi="Times"/>
        </w:rPr>
      </w:pPr>
      <w:r w:rsidRPr="0094722D">
        <w:rPr>
          <w:rFonts w:ascii="Times" w:hAnsi="Times"/>
        </w:rPr>
        <w:t>Sound absorption on the walls* and their approximate total area</w:t>
      </w:r>
    </w:p>
    <w:p w14:paraId="507D56B3" w14:textId="77777777" w:rsidR="00E33E15" w:rsidRPr="00E33E15" w:rsidRDefault="00E33E15" w:rsidP="00E33E15">
      <w:pPr>
        <w:spacing w:after="120" w:line="240" w:lineRule="auto"/>
        <w:rPr>
          <w:rFonts w:ascii="Times" w:hAnsi="Times"/>
        </w:rPr>
      </w:pPr>
      <w:r w:rsidRPr="00E33E15">
        <w:rPr>
          <w:rFonts w:ascii="Times" w:hAnsi="Times"/>
        </w:rPr>
        <w:t xml:space="preserve">*The concept wall absorption is interpreted as a fabric or porous material mounted on, or in the vicinity of a wall and which was subjectively judged as acoustically absorbing. </w:t>
      </w:r>
    </w:p>
    <w:p w14:paraId="7373F4AE" w14:textId="77777777" w:rsidR="00E33E15" w:rsidRPr="00E33E15" w:rsidRDefault="00E33E15" w:rsidP="00E33E15">
      <w:pPr>
        <w:spacing w:after="120" w:line="240" w:lineRule="auto"/>
        <w:rPr>
          <w:rFonts w:ascii="Times" w:hAnsi="Times"/>
        </w:rPr>
      </w:pPr>
    </w:p>
    <w:p w14:paraId="7E2759DF" w14:textId="073A97AC" w:rsidR="00E33E15" w:rsidRDefault="00E33E15" w:rsidP="00E33E15">
      <w:pPr>
        <w:pStyle w:val="Rubrik2"/>
      </w:pPr>
      <w:r>
        <w:t>The SND-data set, files and variables</w:t>
      </w:r>
    </w:p>
    <w:p w14:paraId="0D7535B0" w14:textId="5BF8CECF" w:rsidR="00BA329D" w:rsidRDefault="00BA329D" w:rsidP="00BA329D">
      <w:pPr>
        <w:pStyle w:val="Rubrik3"/>
      </w:pPr>
      <w:r>
        <w:t>General</w:t>
      </w:r>
    </w:p>
    <w:p w14:paraId="017F8B74" w14:textId="27A203B6" w:rsidR="00D80F80" w:rsidRDefault="00C979D1" w:rsidP="00C86197">
      <w:pPr>
        <w:spacing w:after="120" w:line="240" w:lineRule="auto"/>
        <w:rPr>
          <w:rFonts w:ascii="Times" w:hAnsi="Times"/>
        </w:rPr>
      </w:pPr>
      <w:r>
        <w:rPr>
          <w:rFonts w:ascii="Times" w:hAnsi="Times"/>
        </w:rPr>
        <w:t>The d</w:t>
      </w:r>
      <w:r w:rsidR="00D80F80">
        <w:rPr>
          <w:rFonts w:ascii="Times" w:hAnsi="Times"/>
        </w:rPr>
        <w:t xml:space="preserve">ataset consists of </w:t>
      </w:r>
      <w:r w:rsidR="003443DB">
        <w:rPr>
          <w:rFonts w:ascii="Times" w:hAnsi="Times"/>
        </w:rPr>
        <w:t>seven</w:t>
      </w:r>
      <w:r w:rsidR="00D80F80">
        <w:rPr>
          <w:rFonts w:ascii="Times" w:hAnsi="Times"/>
        </w:rPr>
        <w:t xml:space="preserve"> spreadsheet files where each </w:t>
      </w:r>
      <w:r w:rsidR="00B2765D">
        <w:rPr>
          <w:rFonts w:ascii="Times" w:hAnsi="Times"/>
        </w:rPr>
        <w:t>row</w:t>
      </w:r>
      <w:r w:rsidR="00D80F80">
        <w:rPr>
          <w:rFonts w:ascii="Times" w:hAnsi="Times"/>
        </w:rPr>
        <w:t xml:space="preserve"> </w:t>
      </w:r>
      <w:r w:rsidR="00B2765D">
        <w:rPr>
          <w:rFonts w:ascii="Times" w:hAnsi="Times"/>
        </w:rPr>
        <w:t>contain</w:t>
      </w:r>
      <w:r w:rsidR="00D80F80">
        <w:rPr>
          <w:rFonts w:ascii="Times" w:hAnsi="Times"/>
        </w:rPr>
        <w:t xml:space="preserve"> data from one </w:t>
      </w:r>
      <w:r w:rsidR="00C86197">
        <w:rPr>
          <w:rFonts w:ascii="Times" w:hAnsi="Times"/>
        </w:rPr>
        <w:t xml:space="preserve">preschool </w:t>
      </w:r>
      <w:r w:rsidR="00D80F80">
        <w:rPr>
          <w:rFonts w:ascii="Times" w:hAnsi="Times"/>
        </w:rPr>
        <w:t>room</w:t>
      </w:r>
      <w:r w:rsidR="00C86197">
        <w:rPr>
          <w:rFonts w:ascii="Times" w:hAnsi="Times"/>
        </w:rPr>
        <w:t xml:space="preserve">. </w:t>
      </w:r>
      <w:r w:rsidR="00D80F80">
        <w:rPr>
          <w:rFonts w:ascii="Times" w:hAnsi="Times"/>
        </w:rPr>
        <w:t xml:space="preserve">Each </w:t>
      </w:r>
      <w:r w:rsidR="00C86197">
        <w:rPr>
          <w:rFonts w:ascii="Times" w:hAnsi="Times"/>
        </w:rPr>
        <w:t xml:space="preserve">preschool </w:t>
      </w:r>
      <w:r w:rsidR="00D80F80">
        <w:rPr>
          <w:rFonts w:ascii="Times" w:hAnsi="Times"/>
        </w:rPr>
        <w:t>room is identified with 4 numbers:</w:t>
      </w:r>
    </w:p>
    <w:p w14:paraId="15159D3D" w14:textId="542BE5AD" w:rsidR="00D80F80" w:rsidRPr="00D87990" w:rsidRDefault="00D80F80" w:rsidP="00D87990">
      <w:pPr>
        <w:pStyle w:val="Liststycke"/>
        <w:numPr>
          <w:ilvl w:val="0"/>
          <w:numId w:val="2"/>
        </w:numPr>
        <w:spacing w:after="120" w:line="240" w:lineRule="auto"/>
        <w:rPr>
          <w:rFonts w:ascii="Times" w:hAnsi="Times"/>
        </w:rPr>
      </w:pPr>
      <w:r w:rsidRPr="00D87990">
        <w:rPr>
          <w:rFonts w:ascii="Times" w:hAnsi="Times"/>
        </w:rPr>
        <w:t>ROOM_ID1: Represents building year</w:t>
      </w:r>
      <w:r w:rsidR="00B2765D" w:rsidRPr="00D87990">
        <w:rPr>
          <w:rFonts w:ascii="Times" w:hAnsi="Times"/>
        </w:rPr>
        <w:t xml:space="preserve"> interval</w:t>
      </w:r>
      <w:r w:rsidR="00EA48CD" w:rsidRPr="00D87990">
        <w:rPr>
          <w:rFonts w:ascii="Times" w:hAnsi="Times"/>
        </w:rPr>
        <w:t>:</w:t>
      </w:r>
      <w:r w:rsidRPr="00D87990">
        <w:rPr>
          <w:rFonts w:ascii="Times" w:hAnsi="Times"/>
        </w:rPr>
        <w:t xml:space="preserve"> </w:t>
      </w:r>
      <w:r w:rsidR="00EA48CD" w:rsidRPr="00D87990">
        <w:rPr>
          <w:rFonts w:ascii="Times" w:hAnsi="Times"/>
        </w:rPr>
        <w:br/>
      </w:r>
      <w:r w:rsidR="00980137" w:rsidRPr="00D87990">
        <w:rPr>
          <w:rFonts w:ascii="Times" w:hAnsi="Times"/>
        </w:rPr>
        <w:t>“</w:t>
      </w:r>
      <w:r w:rsidRPr="00D87990">
        <w:rPr>
          <w:rFonts w:ascii="Times" w:hAnsi="Times"/>
        </w:rPr>
        <w:t>1</w:t>
      </w:r>
      <w:r w:rsidR="00980137" w:rsidRPr="00D87990">
        <w:rPr>
          <w:rFonts w:ascii="Times" w:hAnsi="Times"/>
        </w:rPr>
        <w:t>”=</w:t>
      </w:r>
      <w:r w:rsidRPr="00D87990">
        <w:rPr>
          <w:rFonts w:ascii="Times" w:hAnsi="Times"/>
        </w:rPr>
        <w:t>19</w:t>
      </w:r>
      <w:r w:rsidR="00EE6BE8" w:rsidRPr="00D87990">
        <w:rPr>
          <w:rFonts w:ascii="Times" w:hAnsi="Times"/>
        </w:rPr>
        <w:t>8</w:t>
      </w:r>
      <w:r w:rsidRPr="00D87990">
        <w:rPr>
          <w:rFonts w:ascii="Times" w:hAnsi="Times"/>
        </w:rPr>
        <w:t>0-199</w:t>
      </w:r>
      <w:r w:rsidR="00EE6BE8" w:rsidRPr="00D87990">
        <w:rPr>
          <w:rFonts w:ascii="Times" w:hAnsi="Times"/>
        </w:rPr>
        <w:t>4</w:t>
      </w:r>
      <w:r w:rsidRPr="00D87990">
        <w:rPr>
          <w:rFonts w:ascii="Times" w:hAnsi="Times"/>
        </w:rPr>
        <w:t xml:space="preserve">, </w:t>
      </w:r>
      <w:r w:rsidR="00980137" w:rsidRPr="00D87990">
        <w:rPr>
          <w:rFonts w:ascii="Times" w:hAnsi="Times"/>
        </w:rPr>
        <w:t>“</w:t>
      </w:r>
      <w:r w:rsidRPr="00D87990">
        <w:rPr>
          <w:rFonts w:ascii="Times" w:hAnsi="Times"/>
        </w:rPr>
        <w:t>2</w:t>
      </w:r>
      <w:r w:rsidR="00980137" w:rsidRPr="00D87990">
        <w:rPr>
          <w:rFonts w:ascii="Times" w:hAnsi="Times"/>
        </w:rPr>
        <w:t>”=</w:t>
      </w:r>
      <w:r w:rsidR="00EE6BE8" w:rsidRPr="00D87990">
        <w:rPr>
          <w:rFonts w:ascii="Times" w:hAnsi="Times"/>
        </w:rPr>
        <w:t>1995</w:t>
      </w:r>
      <w:r w:rsidRPr="00D87990">
        <w:rPr>
          <w:rFonts w:ascii="Times" w:hAnsi="Times"/>
        </w:rPr>
        <w:t>-200</w:t>
      </w:r>
      <w:r w:rsidR="00EE6BE8" w:rsidRPr="00D87990">
        <w:rPr>
          <w:rFonts w:ascii="Times" w:hAnsi="Times"/>
        </w:rPr>
        <w:t>6</w:t>
      </w:r>
      <w:r w:rsidRPr="00D87990">
        <w:rPr>
          <w:rFonts w:ascii="Times" w:hAnsi="Times"/>
        </w:rPr>
        <w:t xml:space="preserve">, </w:t>
      </w:r>
      <w:r w:rsidR="00980137" w:rsidRPr="00D87990">
        <w:rPr>
          <w:rFonts w:ascii="Times" w:hAnsi="Times"/>
        </w:rPr>
        <w:t>“</w:t>
      </w:r>
      <w:r w:rsidRPr="00D87990">
        <w:rPr>
          <w:rFonts w:ascii="Times" w:hAnsi="Times"/>
        </w:rPr>
        <w:t>3</w:t>
      </w:r>
      <w:r w:rsidR="00980137" w:rsidRPr="00D87990">
        <w:rPr>
          <w:rFonts w:ascii="Times" w:hAnsi="Times"/>
        </w:rPr>
        <w:t>”=</w:t>
      </w:r>
      <w:r w:rsidRPr="00D87990">
        <w:rPr>
          <w:rFonts w:ascii="Times" w:hAnsi="Times"/>
        </w:rPr>
        <w:t>200</w:t>
      </w:r>
      <w:r w:rsidR="00EE6BE8" w:rsidRPr="00D87990">
        <w:rPr>
          <w:rFonts w:ascii="Times" w:hAnsi="Times"/>
        </w:rPr>
        <w:t>7</w:t>
      </w:r>
      <w:r w:rsidRPr="00D87990">
        <w:rPr>
          <w:rFonts w:ascii="Times" w:hAnsi="Times"/>
        </w:rPr>
        <w:t xml:space="preserve">-2018 </w:t>
      </w:r>
    </w:p>
    <w:p w14:paraId="6486F96A" w14:textId="3CB8D46D" w:rsidR="00EA48CD" w:rsidRPr="00D87990" w:rsidRDefault="00EA48CD" w:rsidP="00D87990">
      <w:pPr>
        <w:pStyle w:val="Liststycke"/>
        <w:numPr>
          <w:ilvl w:val="0"/>
          <w:numId w:val="2"/>
        </w:numPr>
        <w:spacing w:after="120" w:line="240" w:lineRule="auto"/>
        <w:rPr>
          <w:rFonts w:ascii="Times" w:hAnsi="Times"/>
        </w:rPr>
      </w:pPr>
      <w:r w:rsidRPr="00D87990">
        <w:rPr>
          <w:rFonts w:ascii="Times" w:hAnsi="Times"/>
        </w:rPr>
        <w:t>ROOM_ID2: Represents the number of the preschool within each</w:t>
      </w:r>
      <w:r w:rsidR="00B2765D" w:rsidRPr="00D87990">
        <w:rPr>
          <w:rFonts w:ascii="Times" w:hAnsi="Times"/>
        </w:rPr>
        <w:t xml:space="preserve"> building year interval</w:t>
      </w:r>
    </w:p>
    <w:p w14:paraId="19CFE610" w14:textId="6A9239FC" w:rsidR="00EA48CD" w:rsidRPr="00D87990" w:rsidRDefault="00EA48CD" w:rsidP="00D87990">
      <w:pPr>
        <w:pStyle w:val="Liststycke"/>
        <w:numPr>
          <w:ilvl w:val="0"/>
          <w:numId w:val="2"/>
        </w:numPr>
        <w:spacing w:after="120" w:line="240" w:lineRule="auto"/>
        <w:rPr>
          <w:rFonts w:ascii="Times" w:hAnsi="Times"/>
        </w:rPr>
      </w:pPr>
      <w:r w:rsidRPr="00D87990">
        <w:rPr>
          <w:rFonts w:ascii="Times" w:hAnsi="Times"/>
        </w:rPr>
        <w:t>ROOM_ID3: Represents the unit number within each preschool</w:t>
      </w:r>
    </w:p>
    <w:p w14:paraId="39DBFF9A" w14:textId="2815A72A" w:rsidR="00C86197" w:rsidRPr="00D87990" w:rsidRDefault="00EA48CD" w:rsidP="00C86197">
      <w:pPr>
        <w:pStyle w:val="Liststycke"/>
        <w:numPr>
          <w:ilvl w:val="0"/>
          <w:numId w:val="2"/>
        </w:numPr>
        <w:spacing w:after="120" w:line="240" w:lineRule="auto"/>
        <w:rPr>
          <w:rFonts w:ascii="Times" w:hAnsi="Times"/>
        </w:rPr>
      </w:pPr>
      <w:r w:rsidRPr="00D87990">
        <w:rPr>
          <w:rFonts w:ascii="Times" w:hAnsi="Times"/>
        </w:rPr>
        <w:t>ROOM_ID4: Represents the room number within each unit</w:t>
      </w:r>
      <w:r w:rsidR="00D87990">
        <w:rPr>
          <w:rFonts w:ascii="Times" w:hAnsi="Times"/>
        </w:rPr>
        <w:br/>
      </w:r>
    </w:p>
    <w:p w14:paraId="79F3511E" w14:textId="7C1EDEB6" w:rsidR="00EA48CD" w:rsidRDefault="00EA48CD" w:rsidP="00C86197">
      <w:pPr>
        <w:spacing w:after="120" w:line="240" w:lineRule="auto"/>
        <w:rPr>
          <w:rFonts w:ascii="Times" w:hAnsi="Times"/>
        </w:rPr>
      </w:pPr>
      <w:r>
        <w:rPr>
          <w:rFonts w:ascii="Times" w:hAnsi="Times"/>
        </w:rPr>
        <w:t>Missing data is indicated with an empty cell.</w:t>
      </w:r>
      <w:r w:rsidR="00BA329D">
        <w:rPr>
          <w:rFonts w:ascii="Times" w:hAnsi="Times"/>
        </w:rPr>
        <w:br/>
      </w:r>
    </w:p>
    <w:p w14:paraId="727FFF6E" w14:textId="0333FA88" w:rsidR="00BA329D" w:rsidRDefault="00BA329D" w:rsidP="00BA329D">
      <w:pPr>
        <w:pStyle w:val="Rubrik3"/>
      </w:pPr>
      <w:r>
        <w:t>Collected information</w:t>
      </w:r>
    </w:p>
    <w:p w14:paraId="793DEB31" w14:textId="3CBBCA85" w:rsidR="00D80F80" w:rsidRDefault="002677B7" w:rsidP="00C86197">
      <w:pPr>
        <w:spacing w:after="120" w:line="240" w:lineRule="auto"/>
        <w:rPr>
          <w:rFonts w:ascii="Times" w:hAnsi="Times"/>
        </w:rPr>
      </w:pPr>
      <w:r>
        <w:rPr>
          <w:rFonts w:ascii="Times" w:hAnsi="Times"/>
        </w:rPr>
        <w:t>XLS</w:t>
      </w:r>
      <w:r w:rsidR="009B11EB">
        <w:rPr>
          <w:rFonts w:ascii="Times" w:hAnsi="Times"/>
        </w:rPr>
        <w:t>X</w:t>
      </w:r>
      <w:r>
        <w:rPr>
          <w:rFonts w:ascii="Times" w:hAnsi="Times"/>
        </w:rPr>
        <w:t>-file “INFO”</w:t>
      </w:r>
    </w:p>
    <w:p w14:paraId="09B7181E" w14:textId="77777777" w:rsidR="00BA329D" w:rsidRDefault="00CC46C3" w:rsidP="00C86197">
      <w:pPr>
        <w:pStyle w:val="Liststycke"/>
        <w:numPr>
          <w:ilvl w:val="0"/>
          <w:numId w:val="3"/>
        </w:numPr>
        <w:spacing w:after="120" w:line="240" w:lineRule="auto"/>
        <w:rPr>
          <w:rFonts w:ascii="Times" w:hAnsi="Times"/>
        </w:rPr>
      </w:pPr>
      <w:r w:rsidRPr="00BA329D">
        <w:rPr>
          <w:rFonts w:ascii="Times" w:hAnsi="Times"/>
        </w:rPr>
        <w:t>SES = Socioeconomic index of preschool</w:t>
      </w:r>
    </w:p>
    <w:p w14:paraId="6E57B16A" w14:textId="29B11674" w:rsidR="002677B7" w:rsidRPr="00BA329D" w:rsidRDefault="002677B7" w:rsidP="00C86197">
      <w:pPr>
        <w:pStyle w:val="Liststycke"/>
        <w:numPr>
          <w:ilvl w:val="0"/>
          <w:numId w:val="3"/>
        </w:numPr>
        <w:spacing w:after="120" w:line="240" w:lineRule="auto"/>
        <w:rPr>
          <w:rFonts w:ascii="Times" w:hAnsi="Times"/>
        </w:rPr>
      </w:pPr>
      <w:r w:rsidRPr="00BA329D">
        <w:rPr>
          <w:rFonts w:ascii="Times" w:hAnsi="Times"/>
        </w:rPr>
        <w:t>Volume = Volume of room in (m</w:t>
      </w:r>
      <w:r w:rsidRPr="00BA329D">
        <w:rPr>
          <w:rFonts w:ascii="Times" w:hAnsi="Times"/>
          <w:vertAlign w:val="superscript"/>
        </w:rPr>
        <w:t>3</w:t>
      </w:r>
      <w:r w:rsidRPr="00BA329D">
        <w:rPr>
          <w:rFonts w:ascii="Times" w:hAnsi="Times"/>
        </w:rPr>
        <w:t xml:space="preserve">) </w:t>
      </w:r>
    </w:p>
    <w:p w14:paraId="5774B329" w14:textId="1369A403" w:rsidR="00D80F80" w:rsidRPr="00BA329D" w:rsidRDefault="002677B7" w:rsidP="00BA329D">
      <w:pPr>
        <w:pStyle w:val="Liststycke"/>
        <w:numPr>
          <w:ilvl w:val="0"/>
          <w:numId w:val="3"/>
        </w:numPr>
        <w:spacing w:after="120" w:line="240" w:lineRule="auto"/>
        <w:rPr>
          <w:rFonts w:ascii="Times" w:hAnsi="Times"/>
        </w:rPr>
      </w:pPr>
      <w:r w:rsidRPr="00BA329D">
        <w:rPr>
          <w:rFonts w:ascii="Times" w:hAnsi="Times"/>
        </w:rPr>
        <w:t>FloorA = Floor area (m</w:t>
      </w:r>
      <w:r w:rsidRPr="00BA329D">
        <w:rPr>
          <w:rFonts w:ascii="Times" w:hAnsi="Times"/>
          <w:vertAlign w:val="superscript"/>
        </w:rPr>
        <w:t>2</w:t>
      </w:r>
      <w:r w:rsidRPr="00BA329D">
        <w:rPr>
          <w:rFonts w:ascii="Times" w:hAnsi="Times"/>
        </w:rPr>
        <w:t>)</w:t>
      </w:r>
    </w:p>
    <w:p w14:paraId="56C5B71E" w14:textId="66305198"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Height_min / Height_max = height to inner ceiling (m)</w:t>
      </w:r>
    </w:p>
    <w:p w14:paraId="66B72150" w14:textId="587E3249"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FurnDeg = Subjective furnishing degree, 1 = spares, 2 = normal, 3 = dense</w:t>
      </w:r>
    </w:p>
    <w:p w14:paraId="7C5BF1A8" w14:textId="4D4CBBD1"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FloorConst = Floor construction, 1 = lighweight, 2 = heavy (concrete)</w:t>
      </w:r>
    </w:p>
    <w:p w14:paraId="63692EC9" w14:textId="77777777"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WallConst = Wall construction, 1 = lightweight, 2 = heavy, 3= mixed</w:t>
      </w:r>
    </w:p>
    <w:p w14:paraId="71FE9F2D" w14:textId="77777777"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CeilingAbs = Acoustic ceiling, 1 = porous (mineral wool), 2 = other (commonly perforated boards)</w:t>
      </w:r>
    </w:p>
    <w:p w14:paraId="1EB9DAFE" w14:textId="77777777" w:rsidR="002677B7" w:rsidRPr="00BA329D" w:rsidRDefault="002677B7" w:rsidP="00BA329D">
      <w:pPr>
        <w:pStyle w:val="Liststycke"/>
        <w:numPr>
          <w:ilvl w:val="0"/>
          <w:numId w:val="3"/>
        </w:numPr>
        <w:spacing w:after="120" w:line="240" w:lineRule="auto"/>
        <w:rPr>
          <w:rFonts w:ascii="Times" w:hAnsi="Times"/>
        </w:rPr>
      </w:pPr>
      <w:r w:rsidRPr="00BA329D">
        <w:rPr>
          <w:rFonts w:ascii="Times" w:hAnsi="Times"/>
        </w:rPr>
        <w:t>wallAbs = Amount of wall absorbers (m</w:t>
      </w:r>
      <w:r w:rsidRPr="00BA329D">
        <w:rPr>
          <w:rFonts w:ascii="Times" w:hAnsi="Times"/>
          <w:vertAlign w:val="superscript"/>
        </w:rPr>
        <w:t>2</w:t>
      </w:r>
      <w:r w:rsidRPr="00BA329D">
        <w:rPr>
          <w:rFonts w:ascii="Times" w:hAnsi="Times"/>
        </w:rPr>
        <w:t>)</w:t>
      </w:r>
    </w:p>
    <w:p w14:paraId="21F59570" w14:textId="4752EBDF" w:rsidR="00451953" w:rsidRDefault="00451953" w:rsidP="00C86197">
      <w:pPr>
        <w:spacing w:after="120" w:line="240" w:lineRule="auto"/>
        <w:rPr>
          <w:rFonts w:ascii="Times" w:hAnsi="Times"/>
        </w:rPr>
      </w:pPr>
    </w:p>
    <w:p w14:paraId="532FAF3D" w14:textId="69ACEB24" w:rsidR="00BA329D" w:rsidRDefault="00BA329D" w:rsidP="00BA329D">
      <w:pPr>
        <w:pStyle w:val="Rubrik3"/>
      </w:pPr>
      <w:r>
        <w:t>Room acoustic parameters</w:t>
      </w:r>
    </w:p>
    <w:p w14:paraId="4F99C332" w14:textId="0B552B35" w:rsidR="00BA329D" w:rsidRDefault="00BA329D" w:rsidP="00BA329D">
      <w:pPr>
        <w:spacing w:after="120" w:line="240" w:lineRule="auto"/>
        <w:rPr>
          <w:rFonts w:ascii="Times" w:hAnsi="Times"/>
        </w:rPr>
      </w:pPr>
      <w:r>
        <w:rPr>
          <w:rFonts w:ascii="Times" w:hAnsi="Times"/>
        </w:rPr>
        <w:t xml:space="preserve">Measured room acoustic parameters are presented as </w:t>
      </w:r>
      <w:r w:rsidRPr="001119E9">
        <w:rPr>
          <w:rFonts w:ascii="Times" w:hAnsi="Times"/>
        </w:rPr>
        <w:t>room-averaged for</w:t>
      </w:r>
      <w:r>
        <w:rPr>
          <w:rFonts w:ascii="Times" w:hAnsi="Times"/>
        </w:rPr>
        <w:t xml:space="preserve"> the three</w:t>
      </w:r>
      <w:r w:rsidRPr="001119E9">
        <w:rPr>
          <w:rFonts w:ascii="Times" w:hAnsi="Times"/>
        </w:rPr>
        <w:t xml:space="preserve"> different microphone heights</w:t>
      </w:r>
      <w:r>
        <w:rPr>
          <w:rFonts w:ascii="Times" w:hAnsi="Times"/>
        </w:rPr>
        <w:t xml:space="preserve"> separately:</w:t>
      </w:r>
      <w:r w:rsidRPr="001119E9">
        <w:rPr>
          <w:rFonts w:ascii="Times" w:hAnsi="Times"/>
        </w:rPr>
        <w:t xml:space="preserve"> low = 1±0.2, mid = 1.4±0.2</w:t>
      </w:r>
      <w:r>
        <w:rPr>
          <w:rFonts w:ascii="Times" w:hAnsi="Times"/>
        </w:rPr>
        <w:t xml:space="preserve"> and</w:t>
      </w:r>
      <w:r w:rsidRPr="001119E9">
        <w:rPr>
          <w:rFonts w:ascii="Times" w:hAnsi="Times"/>
        </w:rPr>
        <w:t xml:space="preserve"> high = 1.6±0.2</w:t>
      </w:r>
      <w:r>
        <w:rPr>
          <w:rFonts w:ascii="Times" w:hAnsi="Times"/>
        </w:rPr>
        <w:t xml:space="preserve"> m and for the octave bands from 125 Hz to 8000 Hz. An example is shown in Figure 1 for the parameter Sound strength, G, provided in the spreadsheet file “G.xls</w:t>
      </w:r>
      <w:r w:rsidR="009B11EB">
        <w:rPr>
          <w:rFonts w:ascii="Times" w:hAnsi="Times"/>
        </w:rPr>
        <w:t>x</w:t>
      </w:r>
      <w:r>
        <w:rPr>
          <w:rFonts w:ascii="Times" w:hAnsi="Times"/>
        </w:rPr>
        <w:t>”. Sound strength in the octave bands 125 Hz and 250 Hz are displayed for the two rooms [1 1 1 1] and [1 1 1 2], the results from the different microphone heights are separated.</w:t>
      </w:r>
    </w:p>
    <w:p w14:paraId="58E2361F" w14:textId="77777777" w:rsidR="00BA329D" w:rsidRDefault="00BA329D" w:rsidP="00BA329D">
      <w:pPr>
        <w:keepNext/>
        <w:spacing w:after="120" w:line="240" w:lineRule="auto"/>
      </w:pPr>
      <w:r w:rsidRPr="004C5867">
        <w:rPr>
          <w:noProof/>
        </w:rPr>
        <w:lastRenderedPageBreak/>
        <w:drawing>
          <wp:inline distT="0" distB="0" distL="0" distR="0" wp14:anchorId="4A75B1E2" wp14:editId="20360192">
            <wp:extent cx="5731510" cy="407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7670"/>
                    </a:xfrm>
                    <a:prstGeom prst="rect">
                      <a:avLst/>
                    </a:prstGeom>
                    <a:noFill/>
                    <a:ln>
                      <a:noFill/>
                    </a:ln>
                  </pic:spPr>
                </pic:pic>
              </a:graphicData>
            </a:graphic>
          </wp:inline>
        </w:drawing>
      </w:r>
    </w:p>
    <w:p w14:paraId="79431EBF" w14:textId="5D675064" w:rsidR="00BA329D" w:rsidRDefault="00BA329D" w:rsidP="00BA329D">
      <w:pPr>
        <w:pStyle w:val="Beskrivning"/>
        <w:spacing w:after="120"/>
        <w:rPr>
          <w:rFonts w:ascii="Times" w:hAnsi="Times"/>
        </w:rPr>
      </w:pPr>
      <w:r>
        <w:t xml:space="preserve">Figure </w:t>
      </w:r>
      <w:r>
        <w:fldChar w:fldCharType="begin"/>
      </w:r>
      <w:r>
        <w:instrText xml:space="preserve"> SEQ Figure \* ARABIC </w:instrText>
      </w:r>
      <w:r>
        <w:fldChar w:fldCharType="separate"/>
      </w:r>
      <w:r>
        <w:rPr>
          <w:noProof/>
        </w:rPr>
        <w:t>1</w:t>
      </w:r>
      <w:r>
        <w:fldChar w:fldCharType="end"/>
      </w:r>
      <w:r>
        <w:t xml:space="preserve">: </w:t>
      </w:r>
      <w:r>
        <w:rPr>
          <w:rFonts w:ascii="Times" w:hAnsi="Times"/>
        </w:rPr>
        <w:t>An example of the structure of the room acoustic data, here from the spreadsheet file “G.xls</w:t>
      </w:r>
      <w:r w:rsidR="009B11EB">
        <w:rPr>
          <w:rFonts w:ascii="Times" w:hAnsi="Times"/>
        </w:rPr>
        <w:t>x</w:t>
      </w:r>
      <w:r>
        <w:rPr>
          <w:rFonts w:ascii="Times" w:hAnsi="Times"/>
        </w:rPr>
        <w:t>”. Sound strength, G (dB), in the octave bands 125 Hz and 250 Hz are displayed for the two rooms [1 1 1 1] and [1 1 1 2]. The results from the different microphone heights are separated</w:t>
      </w:r>
      <w:r>
        <w:t>.</w:t>
      </w:r>
    </w:p>
    <w:p w14:paraId="1EFF7D46" w14:textId="77777777" w:rsidR="00BA329D" w:rsidRDefault="00BA329D" w:rsidP="00BA329D">
      <w:pPr>
        <w:spacing w:after="120" w:line="240" w:lineRule="auto"/>
        <w:rPr>
          <w:rFonts w:ascii="Times" w:hAnsi="Times"/>
        </w:rPr>
      </w:pPr>
    </w:p>
    <w:p w14:paraId="7BD504C0" w14:textId="5F83F8BF" w:rsidR="00806837" w:rsidRDefault="000B1324" w:rsidP="00C86197">
      <w:pPr>
        <w:spacing w:after="120" w:line="240" w:lineRule="auto"/>
        <w:rPr>
          <w:rFonts w:ascii="Times" w:hAnsi="Times"/>
        </w:rPr>
      </w:pPr>
      <w:r w:rsidRPr="000B1324">
        <w:rPr>
          <w:rFonts w:ascii="Times" w:hAnsi="Times"/>
        </w:rPr>
        <w:t>XLS</w:t>
      </w:r>
      <w:r w:rsidR="009B11EB">
        <w:rPr>
          <w:rFonts w:ascii="Times" w:hAnsi="Times"/>
        </w:rPr>
        <w:t>X</w:t>
      </w:r>
      <w:r w:rsidRPr="000B1324">
        <w:rPr>
          <w:rFonts w:ascii="Times" w:hAnsi="Times"/>
        </w:rPr>
        <w:t>-file “</w:t>
      </w:r>
      <w:r>
        <w:rPr>
          <w:rFonts w:ascii="Times" w:hAnsi="Times"/>
        </w:rPr>
        <w:t>T20</w:t>
      </w:r>
      <w:r w:rsidRPr="000B1324">
        <w:rPr>
          <w:rFonts w:ascii="Times" w:hAnsi="Times"/>
        </w:rPr>
        <w:t>”</w:t>
      </w:r>
    </w:p>
    <w:p w14:paraId="1666DD91" w14:textId="0BCE411A" w:rsidR="00134690" w:rsidRDefault="00134690" w:rsidP="00C86197">
      <w:pPr>
        <w:spacing w:after="120" w:line="240" w:lineRule="auto"/>
        <w:rPr>
          <w:rFonts w:ascii="Times" w:hAnsi="Times"/>
        </w:rPr>
      </w:pPr>
      <w:r>
        <w:rPr>
          <w:rFonts w:ascii="Times" w:hAnsi="Times"/>
        </w:rPr>
        <w:t xml:space="preserve">Reverberation time </w:t>
      </w:r>
      <w:r w:rsidRPr="001119E9">
        <w:rPr>
          <w:rFonts w:ascii="Times" w:hAnsi="Times"/>
          <w:i/>
          <w:iCs/>
        </w:rPr>
        <w:t>T</w:t>
      </w:r>
      <w:r w:rsidRPr="001119E9">
        <w:rPr>
          <w:rFonts w:ascii="Times" w:hAnsi="Times"/>
          <w:vertAlign w:val="subscript"/>
        </w:rPr>
        <w:t>20</w:t>
      </w:r>
      <w:r>
        <w:rPr>
          <w:rFonts w:ascii="Times" w:hAnsi="Times"/>
        </w:rPr>
        <w:t xml:space="preserve"> (s)</w:t>
      </w:r>
    </w:p>
    <w:p w14:paraId="2008525C" w14:textId="77777777" w:rsidR="00BA329D" w:rsidRDefault="00BA329D" w:rsidP="00C86197">
      <w:pPr>
        <w:spacing w:after="120" w:line="240" w:lineRule="auto"/>
        <w:rPr>
          <w:rFonts w:ascii="Times" w:hAnsi="Times"/>
        </w:rPr>
      </w:pPr>
    </w:p>
    <w:p w14:paraId="1D9DD719" w14:textId="64EAB138" w:rsidR="006608B8" w:rsidRPr="006608B8" w:rsidRDefault="006608B8" w:rsidP="00C86197">
      <w:pPr>
        <w:spacing w:after="120" w:line="240" w:lineRule="auto"/>
        <w:rPr>
          <w:rFonts w:ascii="Times" w:hAnsi="Times"/>
        </w:rPr>
      </w:pPr>
      <w:r w:rsidRPr="006608B8">
        <w:rPr>
          <w:rFonts w:ascii="Times" w:hAnsi="Times"/>
        </w:rPr>
        <w:t>XLS</w:t>
      </w:r>
      <w:r w:rsidR="009B11EB">
        <w:rPr>
          <w:rFonts w:ascii="Times" w:hAnsi="Times"/>
        </w:rPr>
        <w:t>X</w:t>
      </w:r>
      <w:r w:rsidRPr="006608B8">
        <w:rPr>
          <w:rFonts w:ascii="Times" w:hAnsi="Times"/>
        </w:rPr>
        <w:t>-file “</w:t>
      </w:r>
      <w:r>
        <w:rPr>
          <w:rFonts w:ascii="Times" w:hAnsi="Times"/>
        </w:rPr>
        <w:t>EDT</w:t>
      </w:r>
      <w:r w:rsidRPr="006608B8">
        <w:rPr>
          <w:rFonts w:ascii="Times" w:hAnsi="Times"/>
        </w:rPr>
        <w:t>”</w:t>
      </w:r>
    </w:p>
    <w:p w14:paraId="6AFA1AFD" w14:textId="74ED7270" w:rsidR="006608B8" w:rsidRDefault="006608B8" w:rsidP="00C86197">
      <w:pPr>
        <w:spacing w:after="120" w:line="240" w:lineRule="auto"/>
        <w:rPr>
          <w:rFonts w:ascii="Times" w:hAnsi="Times"/>
        </w:rPr>
      </w:pPr>
      <w:r>
        <w:rPr>
          <w:rFonts w:ascii="Times" w:hAnsi="Times"/>
        </w:rPr>
        <w:t>Early decay time</w:t>
      </w:r>
      <w:r w:rsidRPr="006608B8">
        <w:rPr>
          <w:rFonts w:ascii="Times" w:hAnsi="Times"/>
        </w:rPr>
        <w:t xml:space="preserve"> (s)</w:t>
      </w:r>
    </w:p>
    <w:p w14:paraId="5F22AADE" w14:textId="77777777" w:rsidR="00BA329D" w:rsidRDefault="00BA329D" w:rsidP="00C86197">
      <w:pPr>
        <w:spacing w:after="120" w:line="240" w:lineRule="auto"/>
        <w:rPr>
          <w:rFonts w:ascii="Times" w:hAnsi="Times"/>
        </w:rPr>
      </w:pPr>
    </w:p>
    <w:p w14:paraId="1522BE3F" w14:textId="1A9D9886" w:rsidR="006608B8" w:rsidRPr="006608B8" w:rsidRDefault="006608B8" w:rsidP="00C86197">
      <w:pPr>
        <w:spacing w:after="120" w:line="240" w:lineRule="auto"/>
        <w:rPr>
          <w:rFonts w:ascii="Times" w:hAnsi="Times"/>
        </w:rPr>
      </w:pPr>
      <w:r w:rsidRPr="006608B8">
        <w:rPr>
          <w:rFonts w:ascii="Times" w:hAnsi="Times"/>
        </w:rPr>
        <w:t>XLS</w:t>
      </w:r>
      <w:r w:rsidR="009B11EB">
        <w:rPr>
          <w:rFonts w:ascii="Times" w:hAnsi="Times"/>
        </w:rPr>
        <w:t>X</w:t>
      </w:r>
      <w:r w:rsidRPr="006608B8">
        <w:rPr>
          <w:rFonts w:ascii="Times" w:hAnsi="Times"/>
        </w:rPr>
        <w:t>-file “</w:t>
      </w:r>
      <w:r>
        <w:rPr>
          <w:rFonts w:ascii="Times" w:hAnsi="Times"/>
        </w:rPr>
        <w:t>G</w:t>
      </w:r>
      <w:r w:rsidRPr="006608B8">
        <w:rPr>
          <w:rFonts w:ascii="Times" w:hAnsi="Times"/>
        </w:rPr>
        <w:t>”</w:t>
      </w:r>
    </w:p>
    <w:p w14:paraId="2CE209F9" w14:textId="544C24A7" w:rsidR="006608B8" w:rsidRDefault="00C3485A" w:rsidP="00C86197">
      <w:pPr>
        <w:spacing w:after="120" w:line="240" w:lineRule="auto"/>
        <w:rPr>
          <w:rFonts w:ascii="Times" w:hAnsi="Times"/>
        </w:rPr>
      </w:pPr>
      <w:r>
        <w:rPr>
          <w:rFonts w:ascii="Times" w:hAnsi="Times"/>
        </w:rPr>
        <w:t>Sound</w:t>
      </w:r>
      <w:r w:rsidR="006608B8">
        <w:rPr>
          <w:rFonts w:ascii="Times" w:hAnsi="Times"/>
        </w:rPr>
        <w:t xml:space="preserve"> strength</w:t>
      </w:r>
      <w:r w:rsidR="006608B8" w:rsidRPr="006608B8">
        <w:rPr>
          <w:rFonts w:ascii="Times" w:hAnsi="Times"/>
        </w:rPr>
        <w:t xml:space="preserve"> (</w:t>
      </w:r>
      <w:r w:rsidR="006608B8">
        <w:rPr>
          <w:rFonts w:ascii="Times" w:hAnsi="Times"/>
        </w:rPr>
        <w:t>dB</w:t>
      </w:r>
      <w:r w:rsidR="006608B8" w:rsidRPr="006608B8">
        <w:rPr>
          <w:rFonts w:ascii="Times" w:hAnsi="Times"/>
        </w:rPr>
        <w:t>)</w:t>
      </w:r>
    </w:p>
    <w:p w14:paraId="73E2A382" w14:textId="77777777" w:rsidR="00BA329D" w:rsidRDefault="00BA329D" w:rsidP="00C86197">
      <w:pPr>
        <w:spacing w:after="120" w:line="240" w:lineRule="auto"/>
        <w:rPr>
          <w:rFonts w:ascii="Times" w:hAnsi="Times"/>
        </w:rPr>
      </w:pPr>
    </w:p>
    <w:p w14:paraId="36E15E69" w14:textId="2AF104BA" w:rsidR="00C3485A" w:rsidRPr="00C3485A" w:rsidRDefault="00C3485A" w:rsidP="00C86197">
      <w:pPr>
        <w:spacing w:after="120" w:line="240" w:lineRule="auto"/>
        <w:rPr>
          <w:rFonts w:ascii="Times" w:hAnsi="Times"/>
        </w:rPr>
      </w:pPr>
      <w:r w:rsidRPr="00C3485A">
        <w:rPr>
          <w:rFonts w:ascii="Times" w:hAnsi="Times"/>
        </w:rPr>
        <w:t>XLS</w:t>
      </w:r>
      <w:r w:rsidR="009B11EB">
        <w:rPr>
          <w:rFonts w:ascii="Times" w:hAnsi="Times"/>
        </w:rPr>
        <w:t>X</w:t>
      </w:r>
      <w:r w:rsidRPr="00C3485A">
        <w:rPr>
          <w:rFonts w:ascii="Times" w:hAnsi="Times"/>
        </w:rPr>
        <w:t>-file “</w:t>
      </w:r>
      <w:r>
        <w:rPr>
          <w:rFonts w:ascii="Times" w:hAnsi="Times"/>
        </w:rPr>
        <w:t>C50</w:t>
      </w:r>
      <w:r w:rsidRPr="00C3485A">
        <w:rPr>
          <w:rFonts w:ascii="Times" w:hAnsi="Times"/>
        </w:rPr>
        <w:t>”</w:t>
      </w:r>
    </w:p>
    <w:p w14:paraId="23D000ED" w14:textId="7DC055B1" w:rsidR="00BA329D" w:rsidRPr="00C3485A" w:rsidRDefault="00C3485A" w:rsidP="00C86197">
      <w:pPr>
        <w:spacing w:after="120" w:line="240" w:lineRule="auto"/>
        <w:rPr>
          <w:rFonts w:ascii="Times" w:hAnsi="Times"/>
        </w:rPr>
      </w:pPr>
      <w:r>
        <w:rPr>
          <w:rFonts w:ascii="Times" w:hAnsi="Times"/>
        </w:rPr>
        <w:t>Speech Clarity</w:t>
      </w:r>
      <w:r w:rsidRPr="00C3485A">
        <w:rPr>
          <w:rFonts w:ascii="Times" w:hAnsi="Times"/>
        </w:rPr>
        <w:t xml:space="preserve"> (dB)</w:t>
      </w:r>
      <w:r>
        <w:rPr>
          <w:rFonts w:ascii="Times" w:hAnsi="Times"/>
        </w:rPr>
        <w:br/>
      </w:r>
    </w:p>
    <w:p w14:paraId="6E94A0F6" w14:textId="7B4F2850" w:rsidR="00C3485A" w:rsidRPr="00C3485A" w:rsidRDefault="00C3485A" w:rsidP="00C86197">
      <w:pPr>
        <w:spacing w:after="120" w:line="240" w:lineRule="auto"/>
        <w:rPr>
          <w:rFonts w:ascii="Times" w:hAnsi="Times"/>
        </w:rPr>
      </w:pPr>
      <w:r w:rsidRPr="00C3485A">
        <w:rPr>
          <w:rFonts w:ascii="Times" w:hAnsi="Times"/>
        </w:rPr>
        <w:t>XLS</w:t>
      </w:r>
      <w:r w:rsidR="009B11EB">
        <w:rPr>
          <w:rFonts w:ascii="Times" w:hAnsi="Times"/>
        </w:rPr>
        <w:t>X</w:t>
      </w:r>
      <w:r w:rsidRPr="00C3485A">
        <w:rPr>
          <w:rFonts w:ascii="Times" w:hAnsi="Times"/>
        </w:rPr>
        <w:t>-file “C</w:t>
      </w:r>
      <w:r>
        <w:rPr>
          <w:rFonts w:ascii="Times" w:hAnsi="Times"/>
        </w:rPr>
        <w:t>3</w:t>
      </w:r>
      <w:r w:rsidRPr="00C3485A">
        <w:rPr>
          <w:rFonts w:ascii="Times" w:hAnsi="Times"/>
        </w:rPr>
        <w:t>5”</w:t>
      </w:r>
    </w:p>
    <w:p w14:paraId="0CED5664" w14:textId="5B171E88" w:rsidR="00C3485A" w:rsidRDefault="00C3485A" w:rsidP="00C86197">
      <w:pPr>
        <w:spacing w:after="120" w:line="240" w:lineRule="auto"/>
        <w:rPr>
          <w:rFonts w:ascii="Times" w:hAnsi="Times"/>
        </w:rPr>
      </w:pPr>
      <w:r w:rsidRPr="00C3485A">
        <w:rPr>
          <w:rFonts w:ascii="Times" w:hAnsi="Times"/>
        </w:rPr>
        <w:t xml:space="preserve">Speech Clarity </w:t>
      </w:r>
      <w:r>
        <w:rPr>
          <w:rFonts w:ascii="Times" w:hAnsi="Times"/>
        </w:rPr>
        <w:t xml:space="preserve">with integration time 35 ms </w:t>
      </w:r>
      <w:r w:rsidRPr="00C3485A">
        <w:rPr>
          <w:rFonts w:ascii="Times" w:hAnsi="Times"/>
        </w:rPr>
        <w:t>(dB)</w:t>
      </w:r>
    </w:p>
    <w:p w14:paraId="7B06FE56" w14:textId="56581AFB" w:rsidR="00BA329D" w:rsidRDefault="00BA329D" w:rsidP="00C86197">
      <w:pPr>
        <w:spacing w:after="120" w:line="240" w:lineRule="auto"/>
        <w:rPr>
          <w:rFonts w:ascii="Times" w:hAnsi="Times"/>
        </w:rPr>
      </w:pPr>
    </w:p>
    <w:p w14:paraId="0D100533" w14:textId="71B22F1D" w:rsidR="00BA329D" w:rsidRDefault="00BA329D" w:rsidP="00BA329D">
      <w:pPr>
        <w:pStyle w:val="Rubrik3"/>
      </w:pPr>
      <w:r>
        <w:t>Background noise level</w:t>
      </w:r>
    </w:p>
    <w:p w14:paraId="20E5A5A7" w14:textId="26CA6F9D" w:rsidR="00BA329D" w:rsidRDefault="00BA329D" w:rsidP="00C86197">
      <w:pPr>
        <w:spacing w:after="120" w:line="240" w:lineRule="auto"/>
        <w:rPr>
          <w:rFonts w:ascii="Times" w:hAnsi="Times"/>
        </w:rPr>
      </w:pPr>
      <w:r>
        <w:rPr>
          <w:rFonts w:ascii="Times" w:hAnsi="Times"/>
        </w:rPr>
        <w:t xml:space="preserve">Unoccupied noise levels are presented </w:t>
      </w:r>
      <w:bookmarkStart w:id="0" w:name="_Hlk97490756"/>
      <w:r>
        <w:rPr>
          <w:rFonts w:ascii="Times" w:hAnsi="Times"/>
        </w:rPr>
        <w:t xml:space="preserve">as </w:t>
      </w:r>
      <w:r w:rsidRPr="001C45C4">
        <w:rPr>
          <w:rFonts w:ascii="Times" w:hAnsi="Times"/>
          <w:i/>
          <w:iCs/>
        </w:rPr>
        <w:t>L</w:t>
      </w:r>
      <w:r w:rsidRPr="001C45C4">
        <w:rPr>
          <w:rFonts w:ascii="Times" w:hAnsi="Times"/>
          <w:vertAlign w:val="subscript"/>
        </w:rPr>
        <w:t>eq</w:t>
      </w:r>
      <w:r>
        <w:rPr>
          <w:rFonts w:ascii="Times" w:hAnsi="Times"/>
        </w:rPr>
        <w:t xml:space="preserve"> levels in 1/3 octave bands from 25 Hz to 10000 Hz in the spreadsheet file “BKG.xls</w:t>
      </w:r>
      <w:r w:rsidR="009B11EB">
        <w:rPr>
          <w:rFonts w:ascii="Times" w:hAnsi="Times"/>
        </w:rPr>
        <w:t>x</w:t>
      </w:r>
      <w:r>
        <w:rPr>
          <w:rFonts w:ascii="Times" w:hAnsi="Times"/>
        </w:rPr>
        <w:t xml:space="preserve">”. </w:t>
      </w:r>
      <w:bookmarkEnd w:id="0"/>
      <w:r>
        <w:rPr>
          <w:rFonts w:ascii="Times" w:hAnsi="Times"/>
        </w:rPr>
        <w:t xml:space="preserve">For some rooms there is also an estimated contribution from the ventilation system to the background noise equivalent level. </w:t>
      </w:r>
      <w:r>
        <w:rPr>
          <w:rFonts w:ascii="Times" w:hAnsi="Times"/>
        </w:rPr>
        <w:br/>
      </w:r>
    </w:p>
    <w:p w14:paraId="6816C6CB" w14:textId="3F2898E6" w:rsidR="00137E56" w:rsidRPr="00137E56" w:rsidRDefault="00137E56" w:rsidP="00C86197">
      <w:pPr>
        <w:spacing w:after="120" w:line="240" w:lineRule="auto"/>
        <w:rPr>
          <w:rFonts w:ascii="Times" w:hAnsi="Times"/>
        </w:rPr>
      </w:pPr>
      <w:r w:rsidRPr="00137E56">
        <w:rPr>
          <w:rFonts w:ascii="Times" w:hAnsi="Times"/>
        </w:rPr>
        <w:t>XLS</w:t>
      </w:r>
      <w:r w:rsidR="009B11EB">
        <w:rPr>
          <w:rFonts w:ascii="Times" w:hAnsi="Times"/>
        </w:rPr>
        <w:t>X</w:t>
      </w:r>
      <w:r w:rsidRPr="00137E56">
        <w:rPr>
          <w:rFonts w:ascii="Times" w:hAnsi="Times"/>
        </w:rPr>
        <w:t>-file “</w:t>
      </w:r>
      <w:r w:rsidR="009B7FCA">
        <w:rPr>
          <w:rFonts w:ascii="Times" w:hAnsi="Times"/>
        </w:rPr>
        <w:t>BKG</w:t>
      </w:r>
      <w:r w:rsidRPr="00137E56">
        <w:rPr>
          <w:rFonts w:ascii="Times" w:hAnsi="Times"/>
        </w:rPr>
        <w:t>”</w:t>
      </w:r>
    </w:p>
    <w:p w14:paraId="52AC89EE" w14:textId="40343FA2" w:rsidR="00EA48CD" w:rsidRDefault="00EA48CD" w:rsidP="00C86197">
      <w:pPr>
        <w:spacing w:after="120" w:line="240" w:lineRule="auto"/>
        <w:rPr>
          <w:rFonts w:ascii="Times" w:hAnsi="Times"/>
        </w:rPr>
      </w:pPr>
    </w:p>
    <w:p w14:paraId="2F7A1154" w14:textId="77777777" w:rsidR="00EA48CD" w:rsidRPr="00D80F80" w:rsidRDefault="00EA48CD" w:rsidP="00C86197">
      <w:pPr>
        <w:spacing w:after="120" w:line="240" w:lineRule="auto"/>
        <w:rPr>
          <w:rFonts w:ascii="Times" w:hAnsi="Times"/>
        </w:rPr>
      </w:pPr>
    </w:p>
    <w:sectPr w:rsidR="00EA48CD" w:rsidRPr="00D8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30504040204"/>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5318"/>
    <w:multiLevelType w:val="hybridMultilevel"/>
    <w:tmpl w:val="1902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51C7F"/>
    <w:multiLevelType w:val="hybridMultilevel"/>
    <w:tmpl w:val="C3B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F1604"/>
    <w:multiLevelType w:val="hybridMultilevel"/>
    <w:tmpl w:val="54D2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80"/>
    <w:rsid w:val="00062D25"/>
    <w:rsid w:val="000B1324"/>
    <w:rsid w:val="001119E9"/>
    <w:rsid w:val="00134690"/>
    <w:rsid w:val="00137E56"/>
    <w:rsid w:val="001C45C4"/>
    <w:rsid w:val="001E2120"/>
    <w:rsid w:val="00244491"/>
    <w:rsid w:val="002677B7"/>
    <w:rsid w:val="003348F6"/>
    <w:rsid w:val="003443DB"/>
    <w:rsid w:val="003D1BC7"/>
    <w:rsid w:val="003E4ABA"/>
    <w:rsid w:val="00451953"/>
    <w:rsid w:val="00476A70"/>
    <w:rsid w:val="004C5867"/>
    <w:rsid w:val="006608B8"/>
    <w:rsid w:val="00694BA6"/>
    <w:rsid w:val="006B4DEB"/>
    <w:rsid w:val="006B5230"/>
    <w:rsid w:val="00806837"/>
    <w:rsid w:val="0094722D"/>
    <w:rsid w:val="00980137"/>
    <w:rsid w:val="009B11EB"/>
    <w:rsid w:val="009B7FCA"/>
    <w:rsid w:val="00B2765D"/>
    <w:rsid w:val="00B279A6"/>
    <w:rsid w:val="00B9140B"/>
    <w:rsid w:val="00BA329D"/>
    <w:rsid w:val="00C3485A"/>
    <w:rsid w:val="00C61891"/>
    <w:rsid w:val="00C86197"/>
    <w:rsid w:val="00C87F13"/>
    <w:rsid w:val="00C979D1"/>
    <w:rsid w:val="00CC46C3"/>
    <w:rsid w:val="00D80622"/>
    <w:rsid w:val="00D80F80"/>
    <w:rsid w:val="00D87990"/>
    <w:rsid w:val="00E33E15"/>
    <w:rsid w:val="00EA48CD"/>
    <w:rsid w:val="00EE6BE8"/>
    <w:rsid w:val="00FB5652"/>
    <w:rsid w:val="00FC77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DE9A"/>
  <w15:chartTrackingRefBased/>
  <w15:docId w15:val="{630975C7-8597-48D5-A54C-8606E863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E33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33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A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13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1324"/>
    <w:rPr>
      <w:rFonts w:ascii="Segoe UI" w:hAnsi="Segoe UI" w:cs="Segoe UI"/>
      <w:sz w:val="18"/>
      <w:szCs w:val="18"/>
      <w:lang w:val="en-GB"/>
    </w:rPr>
  </w:style>
  <w:style w:type="character" w:styleId="Hyperlnk">
    <w:name w:val="Hyperlink"/>
    <w:basedOn w:val="Standardstycketeckensnitt"/>
    <w:uiPriority w:val="99"/>
    <w:unhideWhenUsed/>
    <w:rsid w:val="00CC46C3"/>
    <w:rPr>
      <w:color w:val="0563C1" w:themeColor="hyperlink"/>
      <w:u w:val="single"/>
    </w:rPr>
  </w:style>
  <w:style w:type="character" w:styleId="Olstomnmnande">
    <w:name w:val="Unresolved Mention"/>
    <w:basedOn w:val="Standardstycketeckensnitt"/>
    <w:uiPriority w:val="99"/>
    <w:semiHidden/>
    <w:unhideWhenUsed/>
    <w:rsid w:val="00CC46C3"/>
    <w:rPr>
      <w:color w:val="605E5C"/>
      <w:shd w:val="clear" w:color="auto" w:fill="E1DFDD"/>
    </w:rPr>
  </w:style>
  <w:style w:type="paragraph" w:styleId="Beskrivning">
    <w:name w:val="caption"/>
    <w:basedOn w:val="Normal"/>
    <w:next w:val="Normal"/>
    <w:uiPriority w:val="35"/>
    <w:unhideWhenUsed/>
    <w:qFormat/>
    <w:rsid w:val="006B4DEB"/>
    <w:pPr>
      <w:spacing w:after="200" w:line="240" w:lineRule="auto"/>
    </w:pPr>
    <w:rPr>
      <w:i/>
      <w:iCs/>
      <w:color w:val="44546A" w:themeColor="text2"/>
      <w:sz w:val="18"/>
      <w:szCs w:val="18"/>
    </w:rPr>
  </w:style>
  <w:style w:type="character" w:customStyle="1" w:styleId="Rubrik1Char">
    <w:name w:val="Rubrik 1 Char"/>
    <w:basedOn w:val="Standardstycketeckensnitt"/>
    <w:link w:val="Rubrik1"/>
    <w:uiPriority w:val="9"/>
    <w:rsid w:val="00E33E15"/>
    <w:rPr>
      <w:rFonts w:asciiTheme="majorHAnsi" w:eastAsiaTheme="majorEastAsia" w:hAnsiTheme="majorHAnsi" w:cstheme="majorBidi"/>
      <w:color w:val="2E74B5" w:themeColor="accent1" w:themeShade="BF"/>
      <w:sz w:val="32"/>
      <w:szCs w:val="32"/>
      <w:lang w:val="en-GB"/>
    </w:rPr>
  </w:style>
  <w:style w:type="character" w:customStyle="1" w:styleId="Rubrik2Char">
    <w:name w:val="Rubrik 2 Char"/>
    <w:basedOn w:val="Standardstycketeckensnitt"/>
    <w:link w:val="Rubrik2"/>
    <w:uiPriority w:val="9"/>
    <w:rsid w:val="00E33E15"/>
    <w:rPr>
      <w:rFonts w:asciiTheme="majorHAnsi" w:eastAsiaTheme="majorEastAsia" w:hAnsiTheme="majorHAnsi" w:cstheme="majorBidi"/>
      <w:color w:val="2E74B5" w:themeColor="accent1" w:themeShade="BF"/>
      <w:sz w:val="26"/>
      <w:szCs w:val="26"/>
      <w:lang w:val="en-GB"/>
    </w:rPr>
  </w:style>
  <w:style w:type="paragraph" w:styleId="Liststycke">
    <w:name w:val="List Paragraph"/>
    <w:basedOn w:val="Normal"/>
    <w:uiPriority w:val="34"/>
    <w:qFormat/>
    <w:rsid w:val="0094722D"/>
    <w:pPr>
      <w:ind w:left="720"/>
      <w:contextualSpacing/>
    </w:pPr>
  </w:style>
  <w:style w:type="character" w:customStyle="1" w:styleId="Rubrik3Char">
    <w:name w:val="Rubrik 3 Char"/>
    <w:basedOn w:val="Standardstycketeckensnitt"/>
    <w:link w:val="Rubrik3"/>
    <w:uiPriority w:val="9"/>
    <w:rsid w:val="00BA329D"/>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508">
      <w:bodyDiv w:val="1"/>
      <w:marLeft w:val="0"/>
      <w:marRight w:val="0"/>
      <w:marTop w:val="0"/>
      <w:marBottom w:val="0"/>
      <w:divBdr>
        <w:top w:val="none" w:sz="0" w:space="0" w:color="auto"/>
        <w:left w:val="none" w:sz="0" w:space="0" w:color="auto"/>
        <w:bottom w:val="none" w:sz="0" w:space="0" w:color="auto"/>
        <w:right w:val="none" w:sz="0" w:space="0" w:color="auto"/>
      </w:divBdr>
    </w:div>
    <w:div w:id="732193944">
      <w:bodyDiv w:val="1"/>
      <w:marLeft w:val="0"/>
      <w:marRight w:val="0"/>
      <w:marTop w:val="0"/>
      <w:marBottom w:val="0"/>
      <w:divBdr>
        <w:top w:val="none" w:sz="0" w:space="0" w:color="auto"/>
        <w:left w:val="none" w:sz="0" w:space="0" w:color="auto"/>
        <w:bottom w:val="none" w:sz="0" w:space="0" w:color="auto"/>
        <w:right w:val="none" w:sz="0" w:space="0" w:color="auto"/>
      </w:divBdr>
    </w:div>
    <w:div w:id="965620082">
      <w:bodyDiv w:val="1"/>
      <w:marLeft w:val="0"/>
      <w:marRight w:val="0"/>
      <w:marTop w:val="0"/>
      <w:marBottom w:val="0"/>
      <w:divBdr>
        <w:top w:val="none" w:sz="0" w:space="0" w:color="auto"/>
        <w:left w:val="none" w:sz="0" w:space="0" w:color="auto"/>
        <w:bottom w:val="none" w:sz="0" w:space="0" w:color="auto"/>
        <w:right w:val="none" w:sz="0" w:space="0" w:color="auto"/>
      </w:divBdr>
    </w:div>
    <w:div w:id="1062601960">
      <w:bodyDiv w:val="1"/>
      <w:marLeft w:val="0"/>
      <w:marRight w:val="0"/>
      <w:marTop w:val="0"/>
      <w:marBottom w:val="0"/>
      <w:divBdr>
        <w:top w:val="none" w:sz="0" w:space="0" w:color="auto"/>
        <w:left w:val="none" w:sz="0" w:space="0" w:color="auto"/>
        <w:bottom w:val="none" w:sz="0" w:space="0" w:color="auto"/>
        <w:right w:val="none" w:sz="0" w:space="0" w:color="auto"/>
      </w:divBdr>
    </w:div>
    <w:div w:id="1291059523">
      <w:bodyDiv w:val="1"/>
      <w:marLeft w:val="0"/>
      <w:marRight w:val="0"/>
      <w:marTop w:val="0"/>
      <w:marBottom w:val="0"/>
      <w:divBdr>
        <w:top w:val="none" w:sz="0" w:space="0" w:color="auto"/>
        <w:left w:val="none" w:sz="0" w:space="0" w:color="auto"/>
        <w:bottom w:val="none" w:sz="0" w:space="0" w:color="auto"/>
        <w:right w:val="none" w:sz="0" w:space="0" w:color="auto"/>
      </w:divBdr>
    </w:div>
    <w:div w:id="1329598527">
      <w:bodyDiv w:val="1"/>
      <w:marLeft w:val="0"/>
      <w:marRight w:val="0"/>
      <w:marTop w:val="0"/>
      <w:marBottom w:val="0"/>
      <w:divBdr>
        <w:top w:val="none" w:sz="0" w:space="0" w:color="auto"/>
        <w:left w:val="none" w:sz="0" w:space="0" w:color="auto"/>
        <w:bottom w:val="none" w:sz="0" w:space="0" w:color="auto"/>
        <w:right w:val="none" w:sz="0" w:space="0" w:color="auto"/>
      </w:divBdr>
    </w:div>
    <w:div w:id="1359162190">
      <w:bodyDiv w:val="1"/>
      <w:marLeft w:val="0"/>
      <w:marRight w:val="0"/>
      <w:marTop w:val="0"/>
      <w:marBottom w:val="0"/>
      <w:divBdr>
        <w:top w:val="none" w:sz="0" w:space="0" w:color="auto"/>
        <w:left w:val="none" w:sz="0" w:space="0" w:color="auto"/>
        <w:bottom w:val="none" w:sz="0" w:space="0" w:color="auto"/>
        <w:right w:val="none" w:sz="0" w:space="0" w:color="auto"/>
      </w:divBdr>
    </w:div>
    <w:div w:id="1452632462">
      <w:bodyDiv w:val="1"/>
      <w:marLeft w:val="0"/>
      <w:marRight w:val="0"/>
      <w:marTop w:val="0"/>
      <w:marBottom w:val="0"/>
      <w:divBdr>
        <w:top w:val="none" w:sz="0" w:space="0" w:color="auto"/>
        <w:left w:val="none" w:sz="0" w:space="0" w:color="auto"/>
        <w:bottom w:val="none" w:sz="0" w:space="0" w:color="auto"/>
        <w:right w:val="none" w:sz="0" w:space="0" w:color="auto"/>
      </w:divBdr>
    </w:div>
    <w:div w:id="1605184940">
      <w:bodyDiv w:val="1"/>
      <w:marLeft w:val="0"/>
      <w:marRight w:val="0"/>
      <w:marTop w:val="0"/>
      <w:marBottom w:val="0"/>
      <w:divBdr>
        <w:top w:val="none" w:sz="0" w:space="0" w:color="auto"/>
        <w:left w:val="none" w:sz="0" w:space="0" w:color="auto"/>
        <w:bottom w:val="none" w:sz="0" w:space="0" w:color="auto"/>
        <w:right w:val="none" w:sz="0" w:space="0" w:color="auto"/>
      </w:divBdr>
    </w:div>
    <w:div w:id="1848131321">
      <w:bodyDiv w:val="1"/>
      <w:marLeft w:val="0"/>
      <w:marRight w:val="0"/>
      <w:marTop w:val="0"/>
      <w:marBottom w:val="0"/>
      <w:divBdr>
        <w:top w:val="none" w:sz="0" w:space="0" w:color="auto"/>
        <w:left w:val="none" w:sz="0" w:space="0" w:color="auto"/>
        <w:bottom w:val="none" w:sz="0" w:space="0" w:color="auto"/>
        <w:right w:val="none" w:sz="0" w:space="0" w:color="auto"/>
      </w:divBdr>
    </w:div>
    <w:div w:id="1982927663">
      <w:bodyDiv w:val="1"/>
      <w:marLeft w:val="0"/>
      <w:marRight w:val="0"/>
      <w:marTop w:val="0"/>
      <w:marBottom w:val="0"/>
      <w:divBdr>
        <w:top w:val="none" w:sz="0" w:space="0" w:color="auto"/>
        <w:left w:val="none" w:sz="0" w:space="0" w:color="auto"/>
        <w:bottom w:val="none" w:sz="0" w:space="0" w:color="auto"/>
        <w:right w:val="none" w:sz="0" w:space="0" w:color="auto"/>
      </w:divBdr>
    </w:div>
    <w:div w:id="20682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1135</Words>
  <Characters>6019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Winroth</dc:creator>
  <cp:keywords/>
  <dc:description/>
  <cp:lastModifiedBy>André Jernung</cp:lastModifiedBy>
  <cp:revision>10</cp:revision>
  <dcterms:created xsi:type="dcterms:W3CDTF">2022-08-13T14:28:00Z</dcterms:created>
  <dcterms:modified xsi:type="dcterms:W3CDTF">2022-09-01T07:52:00Z</dcterms:modified>
</cp:coreProperties>
</file>